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46"/>
      </w:tblGrid>
      <w:tr w:rsidR="002906D4" w:rsidRPr="00A90F21" w:rsidTr="002906D4">
        <w:trPr>
          <w:trHeight w:val="302"/>
        </w:trPr>
        <w:tc>
          <w:tcPr>
            <w:tcW w:w="9146" w:type="dxa"/>
          </w:tcPr>
          <w:tbl>
            <w:tblPr>
              <w:tblStyle w:val="a9"/>
              <w:bidiVisual/>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
              <w:gridCol w:w="6211"/>
              <w:gridCol w:w="1848"/>
            </w:tblGrid>
            <w:tr w:rsidR="002906D4" w:rsidTr="002906D4">
              <w:trPr>
                <w:trHeight w:val="363"/>
              </w:trPr>
              <w:tc>
                <w:tcPr>
                  <w:tcW w:w="871" w:type="dxa"/>
                  <w:vAlign w:val="bottom"/>
                  <w:hideMark/>
                </w:tcPr>
                <w:p w:rsidR="002906D4" w:rsidRDefault="002906D4" w:rsidP="002906D4">
                  <w:pPr>
                    <w:rPr>
                      <w:sz w:val="26"/>
                      <w:szCs w:val="26"/>
                      <w:rtl/>
                    </w:rPr>
                  </w:pPr>
                  <w:bookmarkStart w:id="0" w:name="_GoBack"/>
                  <w:bookmarkEnd w:id="0"/>
                  <w:r>
                    <w:rPr>
                      <w:rFonts w:hint="cs"/>
                      <w:sz w:val="26"/>
                      <w:szCs w:val="26"/>
                      <w:rtl/>
                    </w:rPr>
                    <w:t>בעניין:</w:t>
                  </w:r>
                </w:p>
              </w:tc>
              <w:tc>
                <w:tcPr>
                  <w:tcW w:w="8059" w:type="dxa"/>
                  <w:gridSpan w:val="2"/>
                  <w:vAlign w:val="bottom"/>
                  <w:hideMark/>
                </w:tcPr>
                <w:p w:rsidR="002906D4" w:rsidRDefault="00507541" w:rsidP="00A25F2F">
                  <w:pPr>
                    <w:rPr>
                      <w:b/>
                      <w:bCs/>
                      <w:noProof w:val="0"/>
                      <w:sz w:val="26"/>
                      <w:szCs w:val="26"/>
                      <w:rtl/>
                    </w:rPr>
                  </w:pPr>
                  <w:sdt>
                    <w:sdtPr>
                      <w:rPr>
                        <w:b/>
                        <w:bCs/>
                        <w:noProof w:val="0"/>
                        <w:sz w:val="26"/>
                        <w:szCs w:val="26"/>
                        <w:rtl/>
                      </w:rPr>
                      <w:alias w:val="3151"/>
                      <w:tag w:val="3151"/>
                      <w:id w:val="1635294032"/>
                      <w:placeholder>
                        <w:docPart w:val="AFA81338C2B94DEC885F8C1999FB9762"/>
                      </w:placeholder>
                      <w:text w:multiLine="1"/>
                    </w:sdtPr>
                    <w:sdtEndPr/>
                    <w:sdtContent>
                      <w:r w:rsidR="007F39CF">
                        <w:rPr>
                          <w:b/>
                          <w:bCs/>
                          <w:noProof w:val="0"/>
                          <w:sz w:val="26"/>
                          <w:szCs w:val="26"/>
                          <w:rtl/>
                        </w:rPr>
                        <w:t>מדינת ישראל</w:t>
                      </w:r>
                    </w:sdtContent>
                  </w:sdt>
                  <w:r w:rsidR="00A25F2F">
                    <w:rPr>
                      <w:b/>
                      <w:bCs/>
                      <w:noProof w:val="0"/>
                      <w:sz w:val="26"/>
                      <w:szCs w:val="26"/>
                      <w:rtl/>
                    </w:rPr>
                    <w:t xml:space="preserve">   </w:t>
                  </w:r>
                </w:p>
              </w:tc>
            </w:tr>
            <w:tr w:rsidR="002906D4" w:rsidTr="002906D4">
              <w:trPr>
                <w:trHeight w:val="777"/>
              </w:trPr>
              <w:tc>
                <w:tcPr>
                  <w:tcW w:w="871" w:type="dxa"/>
                </w:tcPr>
                <w:p w:rsidR="002906D4" w:rsidRDefault="002906D4" w:rsidP="002906D4">
                  <w:pPr>
                    <w:rPr>
                      <w:rFonts w:ascii="Arial" w:hAnsi="Arial"/>
                      <w:noProof w:val="0"/>
                      <w:sz w:val="26"/>
                      <w:szCs w:val="26"/>
                    </w:rPr>
                  </w:pPr>
                </w:p>
              </w:tc>
              <w:tc>
                <w:tcPr>
                  <w:tcW w:w="6211" w:type="dxa"/>
                  <w:hideMark/>
                </w:tcPr>
                <w:p w:rsidR="002906D4" w:rsidRDefault="002906D4" w:rsidP="002906D4">
                  <w:pPr>
                    <w:rPr>
                      <w:sz w:val="26"/>
                      <w:szCs w:val="26"/>
                      <w:rtl/>
                    </w:rPr>
                  </w:pPr>
                  <w:r>
                    <w:rPr>
                      <w:rFonts w:ascii="Arial" w:hAnsi="Arial" w:hint="cs"/>
                      <w:noProof w:val="0"/>
                      <w:sz w:val="26"/>
                      <w:szCs w:val="26"/>
                      <w:rtl/>
                    </w:rPr>
                    <w:t>ע"י עו</w:t>
                  </w:r>
                  <w:r w:rsidR="00C23EA9">
                    <w:rPr>
                      <w:rFonts w:ascii="Arial" w:hAnsi="Arial" w:hint="cs"/>
                      <w:noProof w:val="0"/>
                      <w:sz w:val="26"/>
                      <w:szCs w:val="26"/>
                      <w:rtl/>
                    </w:rPr>
                    <w:t>ה</w:t>
                  </w:r>
                  <w:r>
                    <w:rPr>
                      <w:rFonts w:ascii="Arial" w:hAnsi="Arial" w:hint="cs"/>
                      <w:noProof w:val="0"/>
                      <w:sz w:val="26"/>
                      <w:szCs w:val="26"/>
                      <w:rtl/>
                    </w:rPr>
                    <w:t>"ד</w:t>
                  </w:r>
                  <w:r w:rsidR="00C23EA9">
                    <w:rPr>
                      <w:rFonts w:hint="cs"/>
                      <w:sz w:val="26"/>
                      <w:szCs w:val="26"/>
                      <w:rtl/>
                    </w:rPr>
                    <w:t xml:space="preserve"> שירה קני-טל, אמיר קסנטיני</w:t>
                  </w:r>
                </w:p>
              </w:tc>
              <w:tc>
                <w:tcPr>
                  <w:tcW w:w="1848" w:type="dxa"/>
                  <w:hideMark/>
                </w:tcPr>
                <w:p w:rsidR="002906D4" w:rsidRDefault="002906D4" w:rsidP="002906D4">
                  <w:pPr>
                    <w:rPr>
                      <w:rFonts w:ascii="Arial" w:hAnsi="Arial"/>
                      <w:b/>
                      <w:bCs/>
                      <w:noProof w:val="0"/>
                      <w:sz w:val="26"/>
                      <w:szCs w:val="26"/>
                      <w:u w:val="single"/>
                      <w:rtl/>
                    </w:rPr>
                  </w:pPr>
                  <w:r>
                    <w:rPr>
                      <w:rFonts w:hint="cs"/>
                      <w:b/>
                      <w:bCs/>
                      <w:sz w:val="26"/>
                      <w:szCs w:val="26"/>
                      <w:u w:val="single"/>
                      <w:rtl/>
                    </w:rPr>
                    <w:t>ה</w:t>
                  </w:r>
                  <w:sdt>
                    <w:sdtPr>
                      <w:rPr>
                        <w:rFonts w:hint="cs"/>
                        <w:sz w:val="26"/>
                        <w:szCs w:val="26"/>
                        <w:u w:val="single"/>
                        <w:rtl/>
                      </w:rPr>
                      <w:alias w:val="1180"/>
                      <w:tag w:val="1180"/>
                      <w:id w:val="-1913540278"/>
                      <w:text w:multiLine="1"/>
                    </w:sdtPr>
                    <w:sdtEndPr/>
                    <w:sdtContent>
                      <w:r>
                        <w:rPr>
                          <w:rFonts w:ascii="Arial" w:hAnsi="Arial" w:hint="cs"/>
                          <w:b/>
                          <w:bCs/>
                          <w:noProof w:val="0"/>
                          <w:sz w:val="26"/>
                          <w:szCs w:val="26"/>
                          <w:u w:val="single"/>
                          <w:rtl/>
                        </w:rPr>
                        <w:t>מאשימה</w:t>
                      </w:r>
                    </w:sdtContent>
                  </w:sdt>
                </w:p>
              </w:tc>
            </w:tr>
            <w:tr w:rsidR="002906D4" w:rsidTr="002906D4">
              <w:trPr>
                <w:trHeight w:val="751"/>
              </w:trPr>
              <w:tc>
                <w:tcPr>
                  <w:tcW w:w="871" w:type="dxa"/>
                </w:tcPr>
                <w:p w:rsidR="002906D4" w:rsidRDefault="002906D4" w:rsidP="002906D4">
                  <w:pPr>
                    <w:rPr>
                      <w:rFonts w:ascii="Arial" w:hAnsi="Arial"/>
                      <w:b/>
                      <w:bCs/>
                      <w:noProof w:val="0"/>
                      <w:sz w:val="26"/>
                      <w:szCs w:val="26"/>
                      <w:rtl/>
                    </w:rPr>
                  </w:pPr>
                </w:p>
              </w:tc>
              <w:tc>
                <w:tcPr>
                  <w:tcW w:w="6211" w:type="dxa"/>
                </w:tcPr>
                <w:p w:rsidR="002906D4" w:rsidRDefault="002906D4" w:rsidP="002906D4">
                  <w:pPr>
                    <w:jc w:val="center"/>
                    <w:rPr>
                      <w:rFonts w:ascii="Arial" w:hAnsi="Arial"/>
                      <w:b/>
                      <w:bCs/>
                      <w:noProof w:val="0"/>
                      <w:sz w:val="26"/>
                      <w:szCs w:val="26"/>
                      <w:rtl/>
                    </w:rPr>
                  </w:pPr>
                  <w:r>
                    <w:rPr>
                      <w:rFonts w:ascii="Arial" w:hAnsi="Arial" w:hint="cs"/>
                      <w:b/>
                      <w:bCs/>
                      <w:noProof w:val="0"/>
                      <w:sz w:val="26"/>
                      <w:szCs w:val="26"/>
                      <w:rtl/>
                    </w:rPr>
                    <w:t>נגד</w:t>
                  </w:r>
                </w:p>
                <w:p w:rsidR="002906D4" w:rsidRDefault="002906D4" w:rsidP="002906D4">
                  <w:pPr>
                    <w:jc w:val="center"/>
                    <w:rPr>
                      <w:rFonts w:ascii="Arial" w:hAnsi="Arial"/>
                      <w:b/>
                      <w:bCs/>
                      <w:noProof w:val="0"/>
                      <w:sz w:val="26"/>
                      <w:szCs w:val="26"/>
                      <w:rtl/>
                    </w:rPr>
                  </w:pPr>
                </w:p>
              </w:tc>
              <w:tc>
                <w:tcPr>
                  <w:tcW w:w="1848" w:type="dxa"/>
                </w:tcPr>
                <w:p w:rsidR="002906D4" w:rsidRDefault="002906D4" w:rsidP="002906D4">
                  <w:pPr>
                    <w:rPr>
                      <w:rFonts w:ascii="Arial" w:hAnsi="Arial"/>
                      <w:b/>
                      <w:bCs/>
                      <w:noProof w:val="0"/>
                      <w:sz w:val="26"/>
                      <w:szCs w:val="26"/>
                      <w:rtl/>
                    </w:rPr>
                  </w:pPr>
                </w:p>
              </w:tc>
            </w:tr>
            <w:tr w:rsidR="002906D4" w:rsidTr="002906D4">
              <w:trPr>
                <w:trHeight w:val="360"/>
              </w:trPr>
              <w:tc>
                <w:tcPr>
                  <w:tcW w:w="871" w:type="dxa"/>
                </w:tcPr>
                <w:p w:rsidR="002906D4" w:rsidRDefault="002906D4" w:rsidP="002906D4">
                  <w:pPr>
                    <w:rPr>
                      <w:sz w:val="26"/>
                      <w:szCs w:val="26"/>
                    </w:rPr>
                  </w:pPr>
                </w:p>
              </w:tc>
              <w:tc>
                <w:tcPr>
                  <w:tcW w:w="8059" w:type="dxa"/>
                  <w:gridSpan w:val="2"/>
                  <w:vAlign w:val="bottom"/>
                  <w:hideMark/>
                </w:tcPr>
                <w:p w:rsidR="002906D4" w:rsidRPr="00A25F2F" w:rsidRDefault="00507541" w:rsidP="00C23EA9">
                  <w:pPr>
                    <w:rPr>
                      <w:rFonts w:ascii="Arial" w:hAnsi="Arial"/>
                      <w:b/>
                      <w:bCs/>
                      <w:noProof w:val="0"/>
                      <w:sz w:val="26"/>
                      <w:szCs w:val="26"/>
                      <w:rtl/>
                    </w:rPr>
                  </w:pPr>
                  <w:sdt>
                    <w:sdtPr>
                      <w:rPr>
                        <w:rFonts w:ascii="Arial" w:hAnsi="Arial" w:hint="cs"/>
                        <w:b/>
                        <w:bCs/>
                        <w:noProof w:val="0"/>
                        <w:sz w:val="26"/>
                        <w:szCs w:val="26"/>
                        <w:rtl/>
                      </w:rPr>
                      <w:alias w:val="3152"/>
                      <w:tag w:val="3152"/>
                      <w:id w:val="-1849552554"/>
                      <w:placeholder>
                        <w:docPart w:val="C32110277BD84FF9BDCB09EB24BCE8EC"/>
                      </w:placeholder>
                      <w:text w:multiLine="1"/>
                    </w:sdtPr>
                    <w:sdtEndPr/>
                    <w:sdtContent>
                      <w:r w:rsidR="007F39CF">
                        <w:rPr>
                          <w:rFonts w:ascii="Arial" w:hAnsi="Arial" w:hint="eastAsia"/>
                          <w:b/>
                          <w:bCs/>
                          <w:noProof w:val="0"/>
                          <w:sz w:val="26"/>
                          <w:szCs w:val="26"/>
                          <w:rtl/>
                        </w:rPr>
                        <w:t xml:space="preserve">וסים אסעיד </w:t>
                      </w:r>
                    </w:sdtContent>
                  </w:sdt>
                </w:p>
              </w:tc>
            </w:tr>
            <w:tr w:rsidR="002906D4" w:rsidTr="002906D4">
              <w:trPr>
                <w:trHeight w:val="762"/>
              </w:trPr>
              <w:tc>
                <w:tcPr>
                  <w:tcW w:w="871" w:type="dxa"/>
                </w:tcPr>
                <w:p w:rsidR="002906D4" w:rsidRDefault="002906D4" w:rsidP="002906D4">
                  <w:pPr>
                    <w:rPr>
                      <w:rFonts w:ascii="Arial" w:hAnsi="Arial"/>
                      <w:noProof w:val="0"/>
                      <w:sz w:val="26"/>
                      <w:szCs w:val="26"/>
                      <w:rtl/>
                    </w:rPr>
                  </w:pPr>
                </w:p>
              </w:tc>
              <w:tc>
                <w:tcPr>
                  <w:tcW w:w="6211" w:type="dxa"/>
                  <w:hideMark/>
                </w:tcPr>
                <w:p w:rsidR="002906D4" w:rsidRDefault="002906D4" w:rsidP="002906D4">
                  <w:pPr>
                    <w:rPr>
                      <w:rFonts w:ascii="Arial" w:hAnsi="Arial"/>
                      <w:noProof w:val="0"/>
                      <w:sz w:val="26"/>
                      <w:szCs w:val="26"/>
                      <w:rtl/>
                    </w:rPr>
                  </w:pPr>
                  <w:r>
                    <w:rPr>
                      <w:rFonts w:ascii="Arial" w:hAnsi="Arial" w:hint="cs"/>
                      <w:noProof w:val="0"/>
                      <w:sz w:val="26"/>
                      <w:szCs w:val="26"/>
                      <w:rtl/>
                    </w:rPr>
                    <w:t>ע"י עו</w:t>
                  </w:r>
                  <w:r w:rsidR="00C23EA9">
                    <w:rPr>
                      <w:rFonts w:ascii="Arial" w:hAnsi="Arial" w:hint="cs"/>
                      <w:noProof w:val="0"/>
                      <w:sz w:val="26"/>
                      <w:szCs w:val="26"/>
                      <w:rtl/>
                    </w:rPr>
                    <w:t>ה</w:t>
                  </w:r>
                  <w:r>
                    <w:rPr>
                      <w:rFonts w:ascii="Arial" w:hAnsi="Arial" w:hint="cs"/>
                      <w:noProof w:val="0"/>
                      <w:sz w:val="26"/>
                      <w:szCs w:val="26"/>
                      <w:rtl/>
                    </w:rPr>
                    <w:t>"ד</w:t>
                  </w:r>
                  <w:r w:rsidR="00C23EA9">
                    <w:rPr>
                      <w:rFonts w:ascii="Arial" w:hAnsi="Arial" w:hint="cs"/>
                      <w:noProof w:val="0"/>
                      <w:sz w:val="26"/>
                      <w:szCs w:val="26"/>
                      <w:rtl/>
                    </w:rPr>
                    <w:t xml:space="preserve"> מחמד חלאיילה, פארס מוסטפא</w:t>
                  </w:r>
                </w:p>
              </w:tc>
              <w:tc>
                <w:tcPr>
                  <w:tcW w:w="1848" w:type="dxa"/>
                  <w:hideMark/>
                </w:tcPr>
                <w:p w:rsidR="002906D4" w:rsidRDefault="00C23EA9" w:rsidP="002906D4">
                  <w:pPr>
                    <w:rPr>
                      <w:rFonts w:ascii="Arial" w:hAnsi="Arial"/>
                      <w:b/>
                      <w:bCs/>
                      <w:noProof w:val="0"/>
                      <w:sz w:val="26"/>
                      <w:szCs w:val="26"/>
                      <w:u w:val="single"/>
                      <w:rtl/>
                    </w:rPr>
                  </w:pPr>
                  <w:r>
                    <w:rPr>
                      <w:rFonts w:hint="cs"/>
                      <w:b/>
                      <w:bCs/>
                      <w:sz w:val="26"/>
                      <w:szCs w:val="26"/>
                      <w:u w:val="single"/>
                      <w:rtl/>
                    </w:rPr>
                    <w:t>הנאשם</w:t>
                  </w:r>
                </w:p>
              </w:tc>
            </w:tr>
          </w:tbl>
          <w:p w:rsidR="002906D4" w:rsidRPr="002906D4" w:rsidRDefault="002906D4" w:rsidP="0046547C">
            <w:pPr>
              <w:ind w:left="65"/>
              <w:jc w:val="right"/>
              <w:rPr>
                <w:rFonts w:ascii="Arial" w:hAnsi="Arial"/>
                <w:b/>
                <w:bCs/>
                <w:noProof w:val="0"/>
                <w:sz w:val="26"/>
                <w:szCs w:val="26"/>
                <w:rtl/>
              </w:rPr>
            </w:pPr>
          </w:p>
        </w:tc>
      </w:tr>
    </w:tbl>
    <w:p w:rsidR="00694556" w:rsidRDefault="00694556" w:rsidP="003823DA">
      <w:pPr>
        <w:suppressLineNumbers/>
      </w:pPr>
    </w:p>
    <w:tbl>
      <w:tblPr>
        <w:tblStyle w:val="a9"/>
        <w:bidiVisual/>
        <w:tblW w:w="91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04"/>
      </w:tblGrid>
      <w:tr w:rsidR="00694556" w:rsidTr="002906D4">
        <w:trPr>
          <w:jc w:val="center"/>
        </w:trPr>
        <w:tc>
          <w:tcPr>
            <w:tcW w:w="9104" w:type="dxa"/>
          </w:tcPr>
          <w:p w:rsidR="00694556" w:rsidRPr="0046547C" w:rsidRDefault="007F39CF" w:rsidP="0046547C">
            <w:pPr>
              <w:jc w:val="center"/>
              <w:rPr>
                <w:rFonts w:ascii="Arial" w:hAnsi="Arial"/>
                <w:b/>
                <w:bCs/>
                <w:noProof w:val="0"/>
                <w:sz w:val="32"/>
                <w:szCs w:val="32"/>
                <w:u w:val="single"/>
              </w:rPr>
            </w:pPr>
            <w:r>
              <w:rPr>
                <w:rFonts w:ascii="Arial" w:hAnsi="Arial" w:hint="cs"/>
                <w:b/>
                <w:bCs/>
                <w:noProof w:val="0"/>
                <w:sz w:val="32"/>
                <w:szCs w:val="32"/>
                <w:u w:val="single"/>
                <w:rtl/>
              </w:rPr>
              <w:t xml:space="preserve">גזר </w:t>
            </w:r>
            <w:r w:rsidR="00005C8B" w:rsidRPr="0046547C">
              <w:rPr>
                <w:rFonts w:ascii="Arial" w:hAnsi="Arial"/>
                <w:b/>
                <w:bCs/>
                <w:noProof w:val="0"/>
                <w:sz w:val="32"/>
                <w:szCs w:val="32"/>
                <w:u w:val="single"/>
                <w:rtl/>
              </w:rPr>
              <w:t xml:space="preserve"> דין</w:t>
            </w:r>
          </w:p>
        </w:tc>
      </w:tr>
    </w:tbl>
    <w:p w:rsidR="00694556" w:rsidRDefault="00694556">
      <w:pPr>
        <w:spacing w:line="360" w:lineRule="auto"/>
        <w:jc w:val="both"/>
        <w:rPr>
          <w:rFonts w:ascii="Arial" w:hAnsi="Arial"/>
          <w:noProof w:val="0"/>
          <w:sz w:val="26"/>
          <w:szCs w:val="26"/>
          <w:rtl/>
        </w:rPr>
      </w:pPr>
    </w:p>
    <w:p w:rsidR="00C23EA9" w:rsidRDefault="00C23EA9">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 xml:space="preserve">השופט א' דראל </w:t>
      </w:r>
      <w:r>
        <w:rPr>
          <w:rFonts w:ascii="Arial" w:hAnsi="Arial"/>
          <w:b/>
          <w:bCs/>
          <w:noProof w:val="0"/>
          <w:sz w:val="26"/>
          <w:szCs w:val="26"/>
          <w:u w:val="single"/>
          <w:rtl/>
        </w:rPr>
        <w:t>–</w:t>
      </w:r>
      <w:r>
        <w:rPr>
          <w:rFonts w:ascii="Arial" w:hAnsi="Arial" w:hint="cs"/>
          <w:b/>
          <w:bCs/>
          <w:noProof w:val="0"/>
          <w:sz w:val="26"/>
          <w:szCs w:val="26"/>
          <w:u w:val="single"/>
          <w:rtl/>
        </w:rPr>
        <w:t xml:space="preserve"> סגן נשיא:</w:t>
      </w:r>
    </w:p>
    <w:p w:rsidR="00C23EA9" w:rsidRPr="00C23EA9" w:rsidRDefault="00C23EA9" w:rsidP="00C23EA9">
      <w:pPr>
        <w:ind w:left="2880"/>
        <w:jc w:val="both"/>
        <w:rPr>
          <w:rFonts w:ascii="David" w:hAnsi="David"/>
          <w:b/>
          <w:bCs/>
          <w:sz w:val="22"/>
          <w:szCs w:val="22"/>
        </w:rPr>
      </w:pPr>
      <w:r w:rsidRPr="00C23EA9">
        <w:rPr>
          <w:rFonts w:ascii="David" w:hAnsi="David"/>
          <w:b/>
          <w:bCs/>
          <w:sz w:val="22"/>
          <w:szCs w:val="22"/>
          <w:rtl/>
        </w:rPr>
        <w:t>שָׁמַיִם, בַּקְּשׁוּ רַחֲמִים עָלָי!</w:t>
      </w:r>
    </w:p>
    <w:p w:rsidR="00C23EA9" w:rsidRPr="00C23EA9" w:rsidRDefault="00C23EA9" w:rsidP="00C23EA9">
      <w:pPr>
        <w:ind w:left="2880"/>
        <w:jc w:val="both"/>
        <w:rPr>
          <w:rFonts w:ascii="David" w:hAnsi="David"/>
          <w:b/>
          <w:bCs/>
          <w:sz w:val="22"/>
          <w:szCs w:val="22"/>
        </w:rPr>
      </w:pPr>
      <w:r w:rsidRPr="00C23EA9">
        <w:rPr>
          <w:rFonts w:ascii="David" w:hAnsi="David"/>
          <w:b/>
          <w:bCs/>
          <w:sz w:val="22"/>
          <w:szCs w:val="22"/>
          <w:rtl/>
        </w:rPr>
        <w:t>אִם־יֵשׁ בָּכֶם אֵל וְלָאֵל בָּכֶם נָתִיב –</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וַאֲנִי לֹא מְצָאתִיו –</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הִתְפַּלְּלוּ אַתֶּם עָלָי!</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אֲנִי – לִבִּי מֵת וְאֵין עוֹד תְּפִלָּה בִּשְׂפָתָי,</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וּכְבָר אָזְלַת יָד אַף־אֵין תִּקְוָה עוֹד –</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עַד־מָתַי, עַד־אָנָה, עַד־מָתָי?</w:t>
      </w:r>
    </w:p>
    <w:p w:rsidR="00C23EA9" w:rsidRPr="00C23EA9" w:rsidRDefault="00C23EA9" w:rsidP="00C23EA9">
      <w:pPr>
        <w:ind w:left="2880"/>
        <w:jc w:val="both"/>
        <w:rPr>
          <w:rFonts w:ascii="David" w:hAnsi="David"/>
          <w:b/>
          <w:bCs/>
          <w:sz w:val="22"/>
          <w:szCs w:val="22"/>
          <w:rtl/>
        </w:rPr>
      </w:pP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הַתַּלְיָן! הֵא צַוָּאר – קוּם שְׁחָט!</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עָרְפֵנִי כַּכֶּלֶב, לְךָ זְרֹעַ עִם־קַרְדֹּם,</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וְכָל־הָאָרֶץ לִי גַרְדֹּם –</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וַאֲנַחְנוּ – אֲנַחְנוּ הַמְעָט!</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דָּמִי מֻתָּר – הַךְ קָדְקֹד, וִיזַנֵּק דַּם רֶצַח,</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דַּם יוֹנֵק וָשָׂב עַל־כֻּתָּנְתְּךָ –</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וְלֹא יִמַּח לָנֶצַח, לָנֶצַח.</w:t>
      </w:r>
    </w:p>
    <w:p w:rsidR="00C23EA9" w:rsidRPr="00C23EA9" w:rsidRDefault="00C23EA9" w:rsidP="00C23EA9">
      <w:pPr>
        <w:ind w:left="2880"/>
        <w:jc w:val="both"/>
        <w:rPr>
          <w:rFonts w:ascii="David" w:hAnsi="David"/>
          <w:b/>
          <w:bCs/>
          <w:sz w:val="22"/>
          <w:szCs w:val="22"/>
          <w:rtl/>
        </w:rPr>
      </w:pP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וְאִם יֶשׁ־צֶדֶק – יוֹפַע מִיָּד!</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אַךְ אִם־אַחֲרֵי הִשָּׁמְדִי מִתַּחַת רָקִיעַ</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הַצֶּדֶק יוֹפִיעַ –</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יְמֻגַּר־נָא כִסְאוֹ לָעַד!</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וּבְרֶשַׁע עוֹלָמִים שָׁמַיִם יִמָּקּוּ;</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אַף־אַתֶּם לְכוּ, זֵדִים, בַּחֲמַסְכֶם זֶה</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וּבְדִמְכֶם חֲיוּ וְהִנָּקוּ.</w:t>
      </w:r>
    </w:p>
    <w:p w:rsidR="00C23EA9" w:rsidRPr="00C23EA9" w:rsidRDefault="00C23EA9" w:rsidP="00C23EA9">
      <w:pPr>
        <w:ind w:left="2880"/>
        <w:jc w:val="both"/>
        <w:rPr>
          <w:rFonts w:ascii="David" w:hAnsi="David"/>
          <w:b/>
          <w:bCs/>
          <w:sz w:val="22"/>
          <w:szCs w:val="22"/>
          <w:rtl/>
        </w:rPr>
      </w:pP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וְאָרוּר הָאוֹמֵר: נְקֹם!</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נְקָמָה כָזֹאת, נִקְמַת דַּם יֶלֶד קָטָן</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עוֹד לֹא־בָרָא הַשָּׂטָן –</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וְיִקֹּב הַדָּם אֶת־הַתְּהוֹם!</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יִקֹּב הַדָּם עַד תְּהֹמוֹת מַחֲשַׁכִּים,</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וְאָכַל בַּחֹשֶׁךְ וְחָתַר שָׁם</w:t>
      </w:r>
    </w:p>
    <w:p w:rsidR="00C23EA9" w:rsidRPr="00C23EA9" w:rsidRDefault="00C23EA9" w:rsidP="00C23EA9">
      <w:pPr>
        <w:ind w:left="2880"/>
        <w:jc w:val="both"/>
        <w:rPr>
          <w:rFonts w:ascii="David" w:hAnsi="David"/>
          <w:b/>
          <w:bCs/>
          <w:sz w:val="22"/>
          <w:szCs w:val="22"/>
          <w:rtl/>
        </w:rPr>
      </w:pPr>
      <w:r w:rsidRPr="00C23EA9">
        <w:rPr>
          <w:rFonts w:ascii="David" w:hAnsi="David"/>
          <w:b/>
          <w:bCs/>
          <w:sz w:val="22"/>
          <w:szCs w:val="22"/>
          <w:rtl/>
        </w:rPr>
        <w:t>כָּל־מוֹסְדוֹת הָאָרֶץ הַנְּמַקִּים.</w:t>
      </w:r>
    </w:p>
    <w:p w:rsidR="00C23EA9" w:rsidRPr="00C23EA9" w:rsidRDefault="00C23EA9" w:rsidP="00C23EA9">
      <w:pPr>
        <w:ind w:left="2880"/>
        <w:jc w:val="both"/>
        <w:rPr>
          <w:rFonts w:ascii="David" w:hAnsi="David"/>
          <w:sz w:val="22"/>
          <w:szCs w:val="22"/>
          <w:rtl/>
        </w:rPr>
      </w:pPr>
      <w:r w:rsidRPr="00C23EA9">
        <w:rPr>
          <w:rFonts w:ascii="David" w:hAnsi="David"/>
          <w:b/>
          <w:bCs/>
          <w:sz w:val="22"/>
          <w:szCs w:val="22"/>
        </w:rPr>
        <w:br/>
      </w:r>
      <w:r w:rsidRPr="00C23EA9">
        <w:rPr>
          <w:rFonts w:ascii="David" w:hAnsi="David"/>
          <w:sz w:val="22"/>
          <w:szCs w:val="22"/>
          <w:rtl/>
        </w:rPr>
        <w:t>על השחיטה, חיים נחמן ביאליק</w:t>
      </w:r>
    </w:p>
    <w:p w:rsidR="00C23EA9" w:rsidRPr="00C23EA9" w:rsidRDefault="00C23EA9" w:rsidP="00C23EA9">
      <w:pPr>
        <w:ind w:left="2880"/>
        <w:jc w:val="both"/>
        <w:rPr>
          <w:rFonts w:ascii="David" w:hAnsi="David"/>
          <w:sz w:val="22"/>
          <w:szCs w:val="22"/>
          <w:rtl/>
        </w:rPr>
      </w:pPr>
      <w:r w:rsidRPr="00C23EA9">
        <w:rPr>
          <w:rFonts w:ascii="David" w:hAnsi="David"/>
          <w:sz w:val="22"/>
          <w:szCs w:val="22"/>
          <w:rtl/>
        </w:rPr>
        <w:t>אייר, תרס"ג</w:t>
      </w:r>
      <w:r w:rsidRPr="00C23EA9">
        <w:rPr>
          <w:rFonts w:ascii="David" w:hAnsi="David"/>
          <w:sz w:val="22"/>
          <w:szCs w:val="22"/>
        </w:rPr>
        <w:t>.</w:t>
      </w:r>
    </w:p>
    <w:p w:rsidR="00C23EA9" w:rsidRPr="00C23EA9" w:rsidRDefault="00C23EA9" w:rsidP="00C23EA9">
      <w:pPr>
        <w:spacing w:line="360" w:lineRule="auto"/>
        <w:jc w:val="both"/>
        <w:rPr>
          <w:rFonts w:ascii="David" w:hAnsi="David"/>
          <w:b/>
          <w:bCs/>
          <w:sz w:val="22"/>
          <w:szCs w:val="22"/>
          <w:u w:val="single"/>
        </w:rPr>
      </w:pPr>
    </w:p>
    <w:p w:rsidR="00C23EA9" w:rsidRDefault="00C23EA9" w:rsidP="0074401E">
      <w:pPr>
        <w:spacing w:line="360" w:lineRule="auto"/>
        <w:jc w:val="both"/>
        <w:rPr>
          <w:rFonts w:ascii="David" w:hAnsi="David"/>
          <w:sz w:val="26"/>
          <w:szCs w:val="26"/>
          <w:rtl/>
        </w:rPr>
      </w:pPr>
      <w:r>
        <w:rPr>
          <w:rFonts w:ascii="David" w:hAnsi="David"/>
          <w:sz w:val="26"/>
          <w:szCs w:val="26"/>
          <w:rtl/>
        </w:rPr>
        <w:t>מילותיו של חיים נחמן ביאליק המשורר הלאומי נכתבו לאחר אירועי הפוגרום בקישינב בשנת 1903. מאז ועד ימינו אלה, וביתר שאת, ב</w:t>
      </w:r>
      <w:r w:rsidR="0074401E">
        <w:rPr>
          <w:rFonts w:ascii="David" w:hAnsi="David" w:hint="cs"/>
          <w:sz w:val="26"/>
          <w:szCs w:val="26"/>
          <w:rtl/>
        </w:rPr>
        <w:t>תקופה</w:t>
      </w:r>
      <w:r>
        <w:rPr>
          <w:rFonts w:ascii="David" w:hAnsi="David"/>
          <w:sz w:val="26"/>
          <w:szCs w:val="26"/>
          <w:rtl/>
        </w:rPr>
        <w:t xml:space="preserve"> האחרונה באירועים הנוראיים שאירעו בישובי הדרום ב-7.10.2023, נרצחים יהודים אך בשל יהדותם.</w:t>
      </w:r>
    </w:p>
    <w:p w:rsidR="00C23EA9" w:rsidRDefault="00C23EA9" w:rsidP="00C23EA9">
      <w:pPr>
        <w:spacing w:line="360" w:lineRule="auto"/>
        <w:jc w:val="both"/>
        <w:rPr>
          <w:rFonts w:ascii="David" w:hAnsi="David"/>
          <w:sz w:val="26"/>
          <w:szCs w:val="26"/>
          <w:rtl/>
        </w:rPr>
      </w:pPr>
    </w:p>
    <w:p w:rsidR="00C23EA9" w:rsidRDefault="00C23EA9" w:rsidP="00C23EA9">
      <w:pPr>
        <w:spacing w:line="360" w:lineRule="auto"/>
        <w:jc w:val="both"/>
        <w:rPr>
          <w:rFonts w:ascii="David" w:hAnsi="David"/>
          <w:sz w:val="26"/>
          <w:szCs w:val="26"/>
          <w:rtl/>
        </w:rPr>
      </w:pPr>
      <w:r>
        <w:rPr>
          <w:rFonts w:ascii="David" w:hAnsi="David"/>
          <w:sz w:val="26"/>
          <w:szCs w:val="26"/>
          <w:rtl/>
        </w:rPr>
        <w:lastRenderedPageBreak/>
        <w:t>הנאשם שחט, פשוט כך, שלושה בני אדם, וניסה לשחוט שניים נוספים בדרך של שיסוף צווארם בעת שהם בביתם או יצאו ממנו אך ורק בשל יהדותם או בשל כך שחשב שקורבנותיו יהודים. אחד ממעשי הרצח היה רצח כפול של בני הזוג תמר ויהודה כדורי הי"ד בביתם – רצח שהרעיד וטלטל מדינה שלמה ופוענח רק בחלוף שלוש שנים, לאחר שבוצע למרבה הזוועה מעשה רצח נוסף שהביא ללכידתו של הנאשם.</w:t>
      </w:r>
    </w:p>
    <w:p w:rsidR="00C23EA9" w:rsidRDefault="00C23EA9" w:rsidP="00C23EA9">
      <w:pPr>
        <w:spacing w:line="360" w:lineRule="auto"/>
        <w:jc w:val="both"/>
        <w:rPr>
          <w:rFonts w:ascii="David" w:hAnsi="David"/>
          <w:b/>
          <w:bCs/>
          <w:sz w:val="26"/>
          <w:szCs w:val="26"/>
          <w:u w:val="single"/>
          <w:rtl/>
        </w:rPr>
      </w:pPr>
    </w:p>
    <w:p w:rsidR="00C23EA9" w:rsidRDefault="00C23EA9" w:rsidP="00C23EA9">
      <w:pPr>
        <w:spacing w:line="360" w:lineRule="auto"/>
        <w:jc w:val="both"/>
        <w:rPr>
          <w:rFonts w:ascii="David" w:hAnsi="David"/>
          <w:b/>
          <w:bCs/>
          <w:noProof w:val="0"/>
          <w:sz w:val="26"/>
          <w:szCs w:val="26"/>
          <w:u w:val="single"/>
          <w:rtl/>
        </w:rPr>
      </w:pPr>
      <w:r>
        <w:rPr>
          <w:rFonts w:ascii="David" w:hAnsi="David"/>
          <w:b/>
          <w:bCs/>
          <w:sz w:val="26"/>
          <w:szCs w:val="26"/>
          <w:u w:val="single"/>
          <w:rtl/>
        </w:rPr>
        <w:t>כתב האישום</w:t>
      </w:r>
      <w:r>
        <w:rPr>
          <w:rFonts w:ascii="David" w:hAnsi="David"/>
          <w:b/>
          <w:bCs/>
          <w:noProof w:val="0"/>
          <w:sz w:val="26"/>
          <w:szCs w:val="26"/>
          <w:u w:val="single"/>
          <w:rtl/>
        </w:rPr>
        <w:t xml:space="preserve"> והכרעת הדין</w:t>
      </w: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הנאשם הורשע לאחר שמיעת ראיות בעבירות הבאות:</w:t>
      </w:r>
    </w:p>
    <w:p w:rsidR="00C23EA9" w:rsidRDefault="00C23EA9" w:rsidP="00C23EA9">
      <w:pPr>
        <w:pStyle w:val="ad"/>
        <w:spacing w:line="360" w:lineRule="auto"/>
        <w:ind w:left="0"/>
        <w:jc w:val="both"/>
        <w:rPr>
          <w:rFonts w:ascii="David" w:hAnsi="David" w:cs="David"/>
          <w:sz w:val="26"/>
          <w:szCs w:val="26"/>
        </w:rPr>
      </w:pPr>
    </w:p>
    <w:p w:rsidR="00C23EA9" w:rsidRDefault="00C23EA9" w:rsidP="00C23EA9">
      <w:pPr>
        <w:pStyle w:val="ad"/>
        <w:numPr>
          <w:ilvl w:val="0"/>
          <w:numId w:val="2"/>
        </w:numPr>
        <w:spacing w:line="360" w:lineRule="auto"/>
        <w:ind w:left="1502" w:hanging="782"/>
        <w:jc w:val="both"/>
        <w:rPr>
          <w:rFonts w:ascii="David" w:hAnsi="David" w:cs="David"/>
          <w:sz w:val="26"/>
          <w:szCs w:val="26"/>
        </w:rPr>
      </w:pPr>
      <w:r>
        <w:rPr>
          <w:rFonts w:ascii="David" w:hAnsi="David" w:cs="David"/>
          <w:sz w:val="26"/>
          <w:szCs w:val="26"/>
          <w:rtl/>
        </w:rPr>
        <w:t xml:space="preserve">שתי עבירות של </w:t>
      </w:r>
      <w:r>
        <w:rPr>
          <w:rFonts w:ascii="David" w:hAnsi="David" w:cs="David"/>
          <w:b/>
          <w:bCs/>
          <w:sz w:val="26"/>
          <w:szCs w:val="26"/>
          <w:rtl/>
        </w:rPr>
        <w:t>רצח בכוונה תחילה</w:t>
      </w:r>
      <w:r>
        <w:rPr>
          <w:rFonts w:ascii="David" w:hAnsi="David" w:cs="David"/>
          <w:sz w:val="26"/>
          <w:szCs w:val="26"/>
          <w:rtl/>
        </w:rPr>
        <w:t xml:space="preserve"> – עבירה לפי סעיף 300(א)(2) לחוק העונשין, התשל"ז-1977 (להלן: </w:t>
      </w:r>
      <w:r>
        <w:rPr>
          <w:rFonts w:ascii="David" w:hAnsi="David" w:cs="David"/>
          <w:b/>
          <w:bCs/>
          <w:sz w:val="26"/>
          <w:szCs w:val="26"/>
          <w:rtl/>
        </w:rPr>
        <w:t>חוק העונשין</w:t>
      </w:r>
      <w:r>
        <w:rPr>
          <w:rFonts w:ascii="David" w:hAnsi="David" w:cs="David"/>
          <w:sz w:val="26"/>
          <w:szCs w:val="26"/>
          <w:rtl/>
        </w:rPr>
        <w:t>), כנוסחו בעת ביצוע העבירה.</w:t>
      </w:r>
    </w:p>
    <w:p w:rsidR="00C23EA9" w:rsidRDefault="00C23EA9" w:rsidP="00C23EA9">
      <w:pPr>
        <w:pStyle w:val="ad"/>
        <w:spacing w:line="360" w:lineRule="auto"/>
        <w:ind w:left="1502" w:hanging="782"/>
        <w:jc w:val="both"/>
        <w:rPr>
          <w:rFonts w:ascii="David" w:hAnsi="David" w:cs="David"/>
          <w:sz w:val="26"/>
          <w:szCs w:val="26"/>
        </w:rPr>
      </w:pPr>
    </w:p>
    <w:p w:rsidR="00C23EA9" w:rsidRDefault="00C23EA9" w:rsidP="00C23EA9">
      <w:pPr>
        <w:pStyle w:val="ad"/>
        <w:numPr>
          <w:ilvl w:val="0"/>
          <w:numId w:val="2"/>
        </w:numPr>
        <w:spacing w:line="360" w:lineRule="auto"/>
        <w:ind w:left="1502" w:hanging="782"/>
        <w:jc w:val="both"/>
        <w:rPr>
          <w:rFonts w:ascii="David" w:hAnsi="David" w:cs="David"/>
          <w:sz w:val="26"/>
          <w:szCs w:val="26"/>
        </w:rPr>
      </w:pPr>
      <w:r>
        <w:rPr>
          <w:rFonts w:ascii="David" w:hAnsi="David" w:cs="David"/>
          <w:sz w:val="26"/>
          <w:szCs w:val="26"/>
          <w:rtl/>
        </w:rPr>
        <w:t xml:space="preserve">עבירה אחת של </w:t>
      </w:r>
      <w:r>
        <w:rPr>
          <w:rFonts w:ascii="David" w:hAnsi="David" w:cs="David"/>
          <w:b/>
          <w:bCs/>
          <w:sz w:val="26"/>
          <w:szCs w:val="26"/>
          <w:rtl/>
        </w:rPr>
        <w:t xml:space="preserve">רצח בנסיבות מחמירות </w:t>
      </w:r>
      <w:r>
        <w:rPr>
          <w:rFonts w:ascii="David" w:hAnsi="David" w:cs="David"/>
          <w:sz w:val="26"/>
          <w:szCs w:val="26"/>
          <w:rtl/>
        </w:rPr>
        <w:t>– עבירה לפי סעיף 301א(א)(1), (10) ו-(11) לחוק העונשין.</w:t>
      </w:r>
    </w:p>
    <w:p w:rsidR="00C23EA9" w:rsidRDefault="00C23EA9" w:rsidP="00C23EA9">
      <w:pPr>
        <w:pStyle w:val="ad"/>
        <w:rPr>
          <w:rFonts w:ascii="David" w:hAnsi="David" w:cs="David"/>
          <w:sz w:val="26"/>
          <w:szCs w:val="26"/>
          <w:rtl/>
        </w:rPr>
      </w:pPr>
    </w:p>
    <w:p w:rsidR="00C23EA9" w:rsidRDefault="00C23EA9" w:rsidP="00C23EA9">
      <w:pPr>
        <w:pStyle w:val="ad"/>
        <w:numPr>
          <w:ilvl w:val="0"/>
          <w:numId w:val="2"/>
        </w:numPr>
        <w:spacing w:line="360" w:lineRule="auto"/>
        <w:ind w:left="1502" w:hanging="782"/>
        <w:jc w:val="both"/>
        <w:rPr>
          <w:rFonts w:ascii="David" w:hAnsi="David" w:cs="David"/>
          <w:sz w:val="26"/>
          <w:szCs w:val="26"/>
        </w:rPr>
      </w:pPr>
      <w:r>
        <w:rPr>
          <w:rFonts w:ascii="David" w:hAnsi="David" w:cs="David"/>
          <w:sz w:val="26"/>
          <w:szCs w:val="26"/>
          <w:rtl/>
        </w:rPr>
        <w:t xml:space="preserve">שתי עבירות של </w:t>
      </w:r>
      <w:r>
        <w:rPr>
          <w:rFonts w:ascii="David" w:hAnsi="David" w:cs="David"/>
          <w:b/>
          <w:bCs/>
          <w:sz w:val="26"/>
          <w:szCs w:val="26"/>
          <w:rtl/>
        </w:rPr>
        <w:t>מעשה טרור של ניסיון רצח</w:t>
      </w:r>
      <w:r>
        <w:rPr>
          <w:rFonts w:ascii="David" w:hAnsi="David" w:cs="David"/>
          <w:sz w:val="26"/>
          <w:szCs w:val="26"/>
          <w:rtl/>
        </w:rPr>
        <w:t xml:space="preserve"> – עבירה לפי סעיף 305(1) לחוק העונשין, התשל"ז-1977, בצירוף סעיף 37(א) לחוק המאבק בטרור.</w:t>
      </w:r>
    </w:p>
    <w:p w:rsidR="00C23EA9" w:rsidRDefault="00C23EA9" w:rsidP="00C23EA9">
      <w:pPr>
        <w:pStyle w:val="ad"/>
        <w:rPr>
          <w:rFonts w:ascii="David" w:hAnsi="David" w:cs="David"/>
          <w:sz w:val="26"/>
          <w:szCs w:val="26"/>
          <w:rtl/>
        </w:rPr>
      </w:pPr>
    </w:p>
    <w:p w:rsidR="00C23EA9" w:rsidRDefault="00C23EA9" w:rsidP="00C23EA9">
      <w:pPr>
        <w:pStyle w:val="ad"/>
        <w:numPr>
          <w:ilvl w:val="0"/>
          <w:numId w:val="2"/>
        </w:numPr>
        <w:spacing w:line="360" w:lineRule="auto"/>
        <w:ind w:left="1502" w:hanging="782"/>
        <w:jc w:val="both"/>
        <w:rPr>
          <w:rFonts w:ascii="David" w:hAnsi="David" w:cs="David"/>
          <w:sz w:val="26"/>
          <w:szCs w:val="26"/>
        </w:rPr>
      </w:pPr>
      <w:r>
        <w:rPr>
          <w:rFonts w:ascii="David" w:hAnsi="David" w:cs="David"/>
          <w:sz w:val="26"/>
          <w:szCs w:val="26"/>
          <w:rtl/>
        </w:rPr>
        <w:lastRenderedPageBreak/>
        <w:t xml:space="preserve">עבירה של </w:t>
      </w:r>
      <w:r>
        <w:rPr>
          <w:rFonts w:ascii="David" w:hAnsi="David" w:cs="David"/>
          <w:b/>
          <w:bCs/>
          <w:sz w:val="26"/>
          <w:szCs w:val="26"/>
          <w:rtl/>
        </w:rPr>
        <w:t>מעשה טרור של חבלה חמורה בנסיבות מחמירות</w:t>
      </w:r>
      <w:r>
        <w:rPr>
          <w:rFonts w:ascii="David" w:hAnsi="David" w:cs="David"/>
          <w:sz w:val="26"/>
          <w:szCs w:val="26"/>
          <w:rtl/>
        </w:rPr>
        <w:t xml:space="preserve"> – עבירה לפי סעיף 335 (א)(1) בנסיבות סעיף 333 לחוק העונשין, התשל"ז – 1977 בצירוף סעיף 37(א) לחוק המאבק בטרור, התשע"ו-2016. </w:t>
      </w:r>
    </w:p>
    <w:p w:rsidR="00C23EA9" w:rsidRDefault="00C23EA9" w:rsidP="00C23EA9">
      <w:pPr>
        <w:pStyle w:val="ad"/>
        <w:rPr>
          <w:rFonts w:ascii="David" w:hAnsi="David" w:cs="David"/>
          <w:sz w:val="26"/>
          <w:szCs w:val="26"/>
          <w:rtl/>
        </w:rPr>
      </w:pPr>
    </w:p>
    <w:p w:rsidR="00C23EA9" w:rsidRDefault="00C23EA9" w:rsidP="00C23EA9">
      <w:pPr>
        <w:pStyle w:val="ad"/>
        <w:numPr>
          <w:ilvl w:val="0"/>
          <w:numId w:val="2"/>
        </w:numPr>
        <w:spacing w:line="360" w:lineRule="auto"/>
        <w:ind w:left="1502" w:hanging="782"/>
        <w:jc w:val="both"/>
        <w:rPr>
          <w:rFonts w:ascii="David" w:hAnsi="David" w:cs="David"/>
          <w:sz w:val="26"/>
          <w:szCs w:val="26"/>
        </w:rPr>
      </w:pPr>
      <w:r>
        <w:rPr>
          <w:rFonts w:ascii="David" w:hAnsi="David" w:cs="David"/>
          <w:sz w:val="26"/>
          <w:szCs w:val="26"/>
          <w:rtl/>
        </w:rPr>
        <w:t xml:space="preserve">עבירה של </w:t>
      </w:r>
      <w:r>
        <w:rPr>
          <w:rFonts w:ascii="David" w:hAnsi="David" w:cs="David"/>
          <w:b/>
          <w:bCs/>
          <w:sz w:val="26"/>
          <w:szCs w:val="26"/>
          <w:rtl/>
        </w:rPr>
        <w:t>פציעה בנסיבות מחמירות</w:t>
      </w:r>
      <w:r>
        <w:rPr>
          <w:rFonts w:ascii="David" w:hAnsi="David" w:cs="David"/>
          <w:sz w:val="26"/>
          <w:szCs w:val="26"/>
          <w:rtl/>
        </w:rPr>
        <w:t xml:space="preserve"> – עבירה לפי סעיף 355(א)(1) בנסיבות סעיף 334 לחוק העונשין, התשל"ז- 1977.</w:t>
      </w:r>
    </w:p>
    <w:p w:rsidR="00C23EA9" w:rsidRDefault="00C23EA9" w:rsidP="00C23EA9">
      <w:pPr>
        <w:pStyle w:val="ad"/>
        <w:spacing w:line="360" w:lineRule="auto"/>
        <w:ind w:left="1502"/>
        <w:jc w:val="both"/>
        <w:rPr>
          <w:rFonts w:ascii="David" w:hAnsi="David" w:cs="David"/>
          <w:sz w:val="26"/>
          <w:szCs w:val="26"/>
          <w:rtl/>
        </w:rPr>
      </w:pPr>
    </w:p>
    <w:p w:rsidR="00C23EA9" w:rsidRDefault="00C23EA9" w:rsidP="00C23EA9">
      <w:pPr>
        <w:pStyle w:val="ad"/>
        <w:numPr>
          <w:ilvl w:val="0"/>
          <w:numId w:val="2"/>
        </w:numPr>
        <w:spacing w:line="360" w:lineRule="auto"/>
        <w:ind w:left="1502" w:hanging="782"/>
        <w:jc w:val="both"/>
        <w:rPr>
          <w:rFonts w:ascii="David" w:hAnsi="David" w:cs="David"/>
          <w:sz w:val="26"/>
          <w:szCs w:val="26"/>
        </w:rPr>
      </w:pPr>
      <w:r>
        <w:rPr>
          <w:rFonts w:ascii="David" w:hAnsi="David" w:cs="David"/>
          <w:sz w:val="26"/>
          <w:szCs w:val="26"/>
          <w:rtl/>
        </w:rPr>
        <w:t xml:space="preserve">עבירה של </w:t>
      </w:r>
      <w:r>
        <w:rPr>
          <w:rFonts w:ascii="David" w:hAnsi="David" w:cs="David"/>
          <w:b/>
          <w:bCs/>
          <w:sz w:val="26"/>
          <w:szCs w:val="26"/>
          <w:rtl/>
        </w:rPr>
        <w:t>חברות פעילה בארגון טרור</w:t>
      </w:r>
      <w:r>
        <w:rPr>
          <w:rFonts w:ascii="David" w:hAnsi="David" w:cs="David"/>
          <w:sz w:val="26"/>
          <w:szCs w:val="26"/>
          <w:rtl/>
        </w:rPr>
        <w:t xml:space="preserve"> – עבירה לפי סעיף 22(ב) לחוק המאבק בטרור, התשע"ו-2016.</w:t>
      </w:r>
    </w:p>
    <w:p w:rsidR="00C23EA9" w:rsidRDefault="00C23EA9" w:rsidP="00C23EA9">
      <w:pPr>
        <w:pStyle w:val="ad"/>
        <w:spacing w:line="360" w:lineRule="auto"/>
        <w:ind w:left="1502" w:hanging="782"/>
        <w:jc w:val="both"/>
        <w:rPr>
          <w:rFonts w:ascii="David" w:hAnsi="David" w:cs="David"/>
          <w:sz w:val="26"/>
          <w:szCs w:val="26"/>
        </w:rPr>
      </w:pPr>
    </w:p>
    <w:p w:rsidR="00C23EA9" w:rsidRDefault="00C23EA9" w:rsidP="00C23EA9">
      <w:pPr>
        <w:pStyle w:val="ad"/>
        <w:numPr>
          <w:ilvl w:val="0"/>
          <w:numId w:val="2"/>
        </w:numPr>
        <w:spacing w:line="360" w:lineRule="auto"/>
        <w:ind w:left="1502" w:hanging="782"/>
        <w:jc w:val="both"/>
        <w:rPr>
          <w:rFonts w:ascii="David" w:hAnsi="David" w:cs="David"/>
          <w:sz w:val="26"/>
          <w:szCs w:val="26"/>
        </w:rPr>
      </w:pPr>
      <w:r>
        <w:rPr>
          <w:rFonts w:ascii="David" w:hAnsi="David" w:cs="David"/>
          <w:sz w:val="26"/>
          <w:szCs w:val="26"/>
          <w:rtl/>
        </w:rPr>
        <w:t xml:space="preserve">שלוש עבירות של </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 תשי"ב- 1952. </w:t>
      </w:r>
    </w:p>
    <w:p w:rsidR="00C23EA9" w:rsidRDefault="00C23EA9" w:rsidP="00C23EA9">
      <w:pPr>
        <w:ind w:left="5760"/>
        <w:rPr>
          <w:rFonts w:ascii="David" w:hAnsi="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u w:val="single"/>
          <w:rtl/>
        </w:rPr>
      </w:pPr>
      <w:r>
        <w:rPr>
          <w:rFonts w:ascii="David" w:hAnsi="David" w:cs="David"/>
          <w:sz w:val="26"/>
          <w:szCs w:val="26"/>
          <w:rtl/>
        </w:rPr>
        <w:t>כתב האישום נגד הנאשם אחז ארבעה אישומים:</w:t>
      </w:r>
    </w:p>
    <w:p w:rsidR="00C23EA9" w:rsidRDefault="00C23EA9" w:rsidP="00C23EA9">
      <w:pPr>
        <w:spacing w:line="360" w:lineRule="auto"/>
        <w:jc w:val="both"/>
        <w:rPr>
          <w:rFonts w:ascii="David" w:hAnsi="David"/>
          <w:sz w:val="26"/>
          <w:szCs w:val="26"/>
          <w:u w:val="single"/>
        </w:rPr>
      </w:pPr>
      <w:r>
        <w:rPr>
          <w:rFonts w:ascii="David" w:hAnsi="David"/>
          <w:sz w:val="26"/>
          <w:szCs w:val="26"/>
          <w:u w:val="single"/>
          <w:rtl/>
        </w:rPr>
        <w:t>האישום הראשון</w:t>
      </w: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באישום הראשון – הואשם הנאשם בחברות בארגון טרור "המדינה האיסלאמית" (להלן:</w:t>
      </w:r>
      <w:r>
        <w:rPr>
          <w:rFonts w:ascii="David" w:hAnsi="David" w:cs="David"/>
          <w:b/>
          <w:bCs/>
          <w:sz w:val="26"/>
          <w:szCs w:val="26"/>
          <w:rtl/>
        </w:rPr>
        <w:t xml:space="preserve"> דאע"ש)</w:t>
      </w:r>
      <w:r>
        <w:rPr>
          <w:rFonts w:ascii="David" w:hAnsi="David" w:cs="David"/>
          <w:sz w:val="26"/>
          <w:szCs w:val="26"/>
          <w:rtl/>
        </w:rPr>
        <w:t>. לפי הנטען בכתב האישום, הארגון הוכרז כארגון טרור ביום 3.9.2014. הנאשם בשנת 2011 הצטרף לתנועת סלפיה ג'יהדיה ובשנת 2014 נשבע אמונים לארגון הטרור המדינה האסלאמית – דאע"ש, ובכך הפך לחבר בו החל ממועד זה.</w:t>
      </w:r>
    </w:p>
    <w:p w:rsidR="00C23EA9" w:rsidRDefault="00C23EA9" w:rsidP="00C23EA9">
      <w:pPr>
        <w:pStyle w:val="ad"/>
        <w:ind w:left="0"/>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הנאשם החליט לרצוח יהודים מתוך מניע דתי, לאומני ואידאולוגי וכחלק מחברותו בדאע"ש, ואכן ביצע את המעשים שפורטו באישומים 4-2. משכך נטען כי הנאשם היה חבר בארגון טרור, ביצע פעולות בעבור הארגון ובמטרה לקדם את פעילותו.</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מאחר והנאשם הורשע בעבירות אלה בעבר, הרי בהכרעת הדין הוא הורשע בעבירה של </w:t>
      </w:r>
      <w:r>
        <w:rPr>
          <w:rFonts w:ascii="David" w:hAnsi="David" w:cs="David"/>
          <w:b/>
          <w:bCs/>
          <w:sz w:val="26"/>
          <w:szCs w:val="26"/>
          <w:rtl/>
        </w:rPr>
        <w:t>חברות פעילה בארגון טרור</w:t>
      </w:r>
      <w:r>
        <w:rPr>
          <w:rFonts w:ascii="David" w:hAnsi="David" w:cs="David"/>
          <w:sz w:val="26"/>
          <w:szCs w:val="26"/>
          <w:rtl/>
        </w:rPr>
        <w:t xml:space="preserve"> – עבירה לפי סעיף 22(ב) לחוק המאבק בטרור, התשע"ו-2016 (להלן: "</w:t>
      </w:r>
      <w:r>
        <w:rPr>
          <w:rFonts w:ascii="David" w:hAnsi="David" w:cs="David"/>
          <w:b/>
          <w:bCs/>
          <w:sz w:val="26"/>
          <w:szCs w:val="26"/>
          <w:rtl/>
        </w:rPr>
        <w:t>חוק המאבק בטרור"</w:t>
      </w:r>
      <w:r>
        <w:rPr>
          <w:rFonts w:ascii="David" w:hAnsi="David" w:cs="David"/>
          <w:sz w:val="26"/>
          <w:szCs w:val="26"/>
          <w:rtl/>
        </w:rPr>
        <w:t>), לתקופה שמתחילה במועד שחרורו ממאסר בחודש ינואר 2019.</w:t>
      </w:r>
    </w:p>
    <w:p w:rsidR="00C23EA9" w:rsidRDefault="00C23EA9" w:rsidP="00C23EA9">
      <w:pPr>
        <w:pStyle w:val="ad"/>
        <w:rPr>
          <w:rFonts w:ascii="David" w:hAnsi="David" w:cs="David"/>
          <w:sz w:val="26"/>
          <w:szCs w:val="26"/>
        </w:rPr>
      </w:pPr>
    </w:p>
    <w:p w:rsidR="00C23EA9" w:rsidRDefault="00C23EA9" w:rsidP="00C23EA9">
      <w:pPr>
        <w:spacing w:line="360" w:lineRule="auto"/>
        <w:jc w:val="both"/>
        <w:rPr>
          <w:rFonts w:ascii="David" w:hAnsi="David"/>
          <w:sz w:val="26"/>
          <w:szCs w:val="26"/>
          <w:u w:val="single"/>
          <w:rtl/>
        </w:rPr>
      </w:pPr>
      <w:r>
        <w:rPr>
          <w:rFonts w:ascii="David" w:hAnsi="David"/>
          <w:sz w:val="26"/>
          <w:szCs w:val="26"/>
          <w:u w:val="single"/>
          <w:rtl/>
        </w:rPr>
        <w:t>האישום השני</w:t>
      </w: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באישום השני הואשם הנאשם בניסיון לרצח הנערה ה' ב'. העובדות שהוכחו היו כי ביום 8.1.2019 נכנס הנאשם לישראל במטרה להרוג יהודים מתוך מניע לאומני ואידאולוגי. הנאשם נשא בכליו שתי סכינים, האחת בעלת להב באורך כ-30 ס"מ (להלן: </w:t>
      </w:r>
      <w:r>
        <w:rPr>
          <w:rFonts w:ascii="David" w:hAnsi="David" w:cs="David"/>
          <w:b/>
          <w:bCs/>
          <w:sz w:val="26"/>
          <w:szCs w:val="26"/>
          <w:rtl/>
        </w:rPr>
        <w:t>"הסכין"</w:t>
      </w:r>
      <w:r>
        <w:rPr>
          <w:rFonts w:ascii="David" w:hAnsi="David" w:cs="David"/>
          <w:sz w:val="26"/>
          <w:szCs w:val="26"/>
          <w:rtl/>
        </w:rPr>
        <w:t>) והשנייה סכין קפיצית בעלת להב באורך כ-15 ס"מ (להלן: "</w:t>
      </w:r>
      <w:r>
        <w:rPr>
          <w:rFonts w:ascii="David" w:hAnsi="David" w:cs="David"/>
          <w:b/>
          <w:bCs/>
          <w:sz w:val="26"/>
          <w:szCs w:val="26"/>
          <w:rtl/>
        </w:rPr>
        <w:t>הסכין הקפיצית</w:t>
      </w:r>
      <w:r>
        <w:rPr>
          <w:rFonts w:ascii="David" w:hAnsi="David" w:cs="David"/>
          <w:sz w:val="26"/>
          <w:szCs w:val="26"/>
          <w:rtl/>
        </w:rPr>
        <w:t>") ושוקר.</w:t>
      </w:r>
    </w:p>
    <w:p w:rsidR="00C23EA9" w:rsidRDefault="00C23EA9" w:rsidP="00C23EA9">
      <w:pPr>
        <w:pStyle w:val="ad"/>
        <w:spacing w:line="240" w:lineRule="auto"/>
        <w:ind w:left="0"/>
        <w:jc w:val="both"/>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lastRenderedPageBreak/>
        <w:t xml:space="preserve">הנאשם הגיע לירושלים לשכונת ארמון הנציב, שוטט ברחובות השכונה בכוונה לאתר קורבן יהודי ולרצוח אותו. בשעות הלילה שהה במקלט הבניין ברחוב מרדכי אלקחי 55 בסמוך אליו ישנו מעבר עילי לבניין אחר ברחוב מרדכי אלקחי 17 (להלן: </w:t>
      </w:r>
      <w:r>
        <w:rPr>
          <w:rFonts w:ascii="David" w:hAnsi="David" w:cs="David"/>
          <w:b/>
          <w:bCs/>
          <w:sz w:val="26"/>
          <w:szCs w:val="26"/>
          <w:rtl/>
        </w:rPr>
        <w:t>"המקלט"</w:t>
      </w:r>
      <w:r>
        <w:rPr>
          <w:rFonts w:ascii="David" w:hAnsi="David" w:cs="David"/>
          <w:sz w:val="26"/>
          <w:szCs w:val="26"/>
          <w:rtl/>
        </w:rPr>
        <w:t>). הנאשם השאיר במקלט את הסכין הקפיצית והשוקר ויצא לשוטט ולאתר קורבן.</w:t>
      </w:r>
    </w:p>
    <w:p w:rsidR="00C23EA9" w:rsidRDefault="00C23EA9" w:rsidP="00C23EA9">
      <w:pPr>
        <w:pStyle w:val="ad"/>
        <w:ind w:left="0"/>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ביום 9.1.2019 סמוך לשעה 06:50, ראה הנאשם את ה' ב', נערה ילידת 2003 שמתגוררת בשכונת ארמון הנציב בירושלים, צועדת לכיוון מדרגות המובילות מרחבת החניה שברחוב מרדכי אלקחי (למול בית מספר 55) מעלה לחלקו העליון של הרחוב אל תחנת האוטובוס. </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הנאשם החליט לרצוח את ה' ב' מתוך מניע לאומני ואידיאולוגי, בשל היותה יהודייה, על יסוד חזותה ומקום מגוריה, והחל ללכת אחריה במהירות כשהוא מדלג במעלה המדרגות. הנאשם השיג את ה' ב' כשהייתה באמצע גרם המדרגות, שלף את הסכין אותה החזיק על גבי המותן והחל לדקור באמצעות הסכין את צווארה של ה' ב' ולנסות לשסף אותו. </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הנאשם עשה מספר תנועות דקירה עם הסכין על גבי צווארה וגרם לה' ב' חתך בצוואר באורך כ-7 ס"מ. ה' ב' צעקה זעקת כאב והנאשם נמלט מהמקום במהירות במעלה המדרגות, התרחק מהשכונה, נסע בתחבורה </w:t>
      </w:r>
      <w:r>
        <w:rPr>
          <w:rFonts w:ascii="David" w:hAnsi="David" w:cs="David"/>
          <w:sz w:val="26"/>
          <w:szCs w:val="26"/>
          <w:rtl/>
        </w:rPr>
        <w:lastRenderedPageBreak/>
        <w:t>ציבורית, יצא את ירושלים וחזר לביתו בא-ראם. ה' ב' בסיוע אחותה, חזרה לביתה ופונתה לקבלת טיפול רפואי. לה' ב' נגרמו חתך בצוואר וחתך באצבע ימין, שני החתכים הצריכו תפירה תחת הרדמה.</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העבירות שבהן הורשע בגדרו של אישום זה הן </w:t>
      </w:r>
      <w:r>
        <w:rPr>
          <w:rFonts w:ascii="David" w:hAnsi="David" w:cs="David"/>
          <w:b/>
          <w:bCs/>
          <w:sz w:val="26"/>
          <w:szCs w:val="26"/>
          <w:rtl/>
        </w:rPr>
        <w:t>מעשה טרור של ניסיון רצח</w:t>
      </w:r>
      <w:r>
        <w:rPr>
          <w:rFonts w:ascii="David" w:hAnsi="David" w:cs="David"/>
          <w:sz w:val="26"/>
          <w:szCs w:val="26"/>
          <w:rtl/>
        </w:rPr>
        <w:t xml:space="preserve"> – עבירה לפי סעיף 305(1) לחוק העונשין, התשל"ז-1977, בצירוף סעיף 37(א) לחוק המאבק בטרור, התשע"ו-2016; </w:t>
      </w:r>
      <w:r>
        <w:rPr>
          <w:rFonts w:ascii="David" w:hAnsi="David" w:cs="David"/>
          <w:b/>
          <w:bCs/>
          <w:sz w:val="26"/>
          <w:szCs w:val="26"/>
          <w:rtl/>
        </w:rPr>
        <w:t>פציעה בנסיבות מחמירות</w:t>
      </w:r>
      <w:r>
        <w:rPr>
          <w:rFonts w:ascii="David" w:hAnsi="David" w:cs="David"/>
          <w:sz w:val="26"/>
          <w:szCs w:val="26"/>
          <w:rtl/>
        </w:rPr>
        <w:t xml:space="preserve"> – עבירה לפי סעיף 335(א)(1), בנסיבות סעיף 334 לחוק ו-</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 התשי"ב-1952 (להלן: </w:t>
      </w:r>
      <w:r>
        <w:rPr>
          <w:rFonts w:ascii="David" w:hAnsi="David" w:cs="David"/>
          <w:b/>
          <w:bCs/>
          <w:sz w:val="26"/>
          <w:szCs w:val="26"/>
          <w:rtl/>
        </w:rPr>
        <w:t>"חוק הכניסה לישראל"</w:t>
      </w:r>
      <w:r>
        <w:rPr>
          <w:rFonts w:ascii="David" w:hAnsi="David" w:cs="David"/>
          <w:sz w:val="26"/>
          <w:szCs w:val="26"/>
          <w:rtl/>
        </w:rPr>
        <w:t>).</w:t>
      </w:r>
    </w:p>
    <w:p w:rsidR="00C23EA9" w:rsidRDefault="00C23EA9" w:rsidP="00C23EA9">
      <w:pPr>
        <w:pStyle w:val="ad"/>
        <w:ind w:left="0"/>
        <w:rPr>
          <w:rFonts w:ascii="David" w:hAnsi="David" w:cs="David"/>
          <w:sz w:val="26"/>
          <w:szCs w:val="26"/>
          <w:rtl/>
        </w:rPr>
      </w:pPr>
    </w:p>
    <w:p w:rsidR="00C23EA9" w:rsidRDefault="00C23EA9" w:rsidP="00C23EA9">
      <w:pPr>
        <w:spacing w:line="360" w:lineRule="auto"/>
        <w:jc w:val="both"/>
        <w:rPr>
          <w:rFonts w:ascii="David" w:hAnsi="David"/>
          <w:sz w:val="26"/>
          <w:szCs w:val="26"/>
          <w:u w:val="single"/>
        </w:rPr>
      </w:pPr>
      <w:r>
        <w:rPr>
          <w:rFonts w:ascii="David" w:hAnsi="David"/>
          <w:sz w:val="26"/>
          <w:szCs w:val="26"/>
          <w:u w:val="single"/>
          <w:rtl/>
        </w:rPr>
        <w:t>האישום השלישי</w:t>
      </w: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בגדרו של האישום השלישי הורשע הנאשם ברצח בני הזוג יהודה ותמר כדורי ז"ל (להלן: </w:t>
      </w:r>
      <w:r>
        <w:rPr>
          <w:rFonts w:ascii="David" w:hAnsi="David" w:cs="David"/>
          <w:b/>
          <w:bCs/>
          <w:sz w:val="26"/>
          <w:szCs w:val="26"/>
          <w:rtl/>
        </w:rPr>
        <w:t>"המנוחה", "המנוח"</w:t>
      </w:r>
      <w:r>
        <w:rPr>
          <w:rFonts w:ascii="David" w:hAnsi="David" w:cs="David"/>
          <w:sz w:val="26"/>
          <w:szCs w:val="26"/>
          <w:rtl/>
        </w:rPr>
        <w:t xml:space="preserve">). בני הזוג ילידי  1947 ו-1950 בהתאמה, נשואים שהתגוררו בדירה מספר 7 ברחוב מרדכי אלקחי מספר 17 (או מספר 55, לפי הכניסה העליונה), בירושלים (להלן: </w:t>
      </w:r>
      <w:r>
        <w:rPr>
          <w:rFonts w:ascii="David" w:hAnsi="David" w:cs="David"/>
          <w:b/>
          <w:bCs/>
          <w:sz w:val="26"/>
          <w:szCs w:val="26"/>
          <w:rtl/>
        </w:rPr>
        <w:t>"הדירה"</w:t>
      </w:r>
      <w:r>
        <w:rPr>
          <w:rFonts w:ascii="David" w:hAnsi="David" w:cs="David"/>
          <w:sz w:val="26"/>
          <w:szCs w:val="26"/>
          <w:rtl/>
        </w:rPr>
        <w:t xml:space="preserve">). </w:t>
      </w:r>
    </w:p>
    <w:p w:rsidR="00C23EA9" w:rsidRDefault="00C23EA9" w:rsidP="00C23EA9">
      <w:pPr>
        <w:pStyle w:val="ad"/>
        <w:spacing w:line="240" w:lineRule="auto"/>
        <w:ind w:left="0"/>
        <w:jc w:val="both"/>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ביום 10.2.2019 שב ונכנס הנאשם לישראל במטרה להרוג יהודים מתוך מניע לאומני ואידיאולוגי. הוא חזר למקלט כמפורט באישום השני, ונטל משם את הסכין והשוקר אותם השאיר במקום מחבוא במקלט. הנאשם </w:t>
      </w:r>
      <w:r>
        <w:rPr>
          <w:rFonts w:ascii="David" w:hAnsi="David" w:cs="David"/>
          <w:sz w:val="26"/>
          <w:szCs w:val="26"/>
          <w:rtl/>
        </w:rPr>
        <w:lastRenderedPageBreak/>
        <w:t>שוטט ברחובות השכונה בכוונה לאתר קורבן יהודי ולרצוח אותו. סמוך לשעה 21:30 הבחין הנאשם במנוח המגיע ברכבו לרחבת החניה שלפני הכניסה לבניין, ברחוב מרדכי אלקחי 55.</w:t>
      </w:r>
    </w:p>
    <w:p w:rsidR="00C23EA9" w:rsidRDefault="00C23EA9" w:rsidP="00C23EA9">
      <w:pPr>
        <w:pStyle w:val="ad"/>
        <w:ind w:left="0"/>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הנאשם ראה כי המנוח חובש כיפה לראשו וכי הוא יוצא מן הרכב בעודו מונע, פורק שקיות מצרכים ופונה לכיוון הדירה. הנאשם צעד אחר המנוח במרחק מה, נכנס לבניין בעקבותיו ועקב אחריו כשירד במדרגות לכיוון מפלס הדירה. הנאשם עצר בעיקול גרם המדרגות המוליך למקלט הבניין וצפה על מעשיו של המנוח בעת שנכנס לדירה. </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זמן קצר לאחר מכן יצא המנוח מהדירה ושב לרכב המונע. הנאשם ראה זאת מהמקום שבו צפה, התקרב לדירה, פתח את הדלת שלא הייתה נעולה ונכנס לתוך הדירה. הנאשם עבר בין החדרים ומצא את המנוחה כשהיא שוכבת במיטתה בחדר השינה. הנאשם החליט להמית את המנוחה, ודקר אותה באמצעות הסכין הקפיצית בצווארה מספר פעמים. הוא עזב את חדר השינה והסתתר בחדר אחר, בו המתין לשובו של המנוח. המנוח חזר לדירה עם המצרכים, סידר אותם במטבח וישב לאכול. בעת שהמנוח צעד לכיוון החדר שבו הסתתר הנאשם, הסתער עליו הנאשם ודקר אותו למותו בסכין הקפיצית. </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lastRenderedPageBreak/>
        <w:t>לאחר המעשים הנאשם נותר בדירה עוד מספר שעות, במהלכן שטף את ידיו ואת הסכין בכיור המטבח. הנאשם הוציא את מפתח הדירה שהיה נעוץ בחריץ המנעול בצידה הפנימי של הדלת ונעל אחריו את דלת הדירה.</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הרשעת הנאשם היא בשתי עבירות של </w:t>
      </w:r>
      <w:r>
        <w:rPr>
          <w:rFonts w:ascii="David" w:hAnsi="David" w:cs="David"/>
          <w:b/>
          <w:bCs/>
          <w:sz w:val="26"/>
          <w:szCs w:val="26"/>
          <w:rtl/>
        </w:rPr>
        <w:t>רצח בכוונה תחילה</w:t>
      </w:r>
      <w:r>
        <w:rPr>
          <w:rFonts w:ascii="David" w:hAnsi="David" w:cs="David"/>
          <w:sz w:val="26"/>
          <w:szCs w:val="26"/>
          <w:rtl/>
        </w:rPr>
        <w:t xml:space="preserve"> – עבירה לפי סעיף 300(א)(2) לחוק העונשין, כנוסחו בעת ביצוע העבירה (שתי עבירות);ו- </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 </w:t>
      </w:r>
    </w:p>
    <w:p w:rsidR="00C23EA9" w:rsidRDefault="00C23EA9" w:rsidP="00C23EA9">
      <w:pPr>
        <w:pStyle w:val="ad"/>
        <w:ind w:left="0"/>
        <w:rPr>
          <w:rFonts w:ascii="David" w:hAnsi="David" w:cs="David"/>
          <w:sz w:val="26"/>
          <w:szCs w:val="26"/>
          <w:rtl/>
        </w:rPr>
      </w:pPr>
    </w:p>
    <w:p w:rsidR="00C23EA9" w:rsidRDefault="00C23EA9" w:rsidP="00C23EA9">
      <w:pPr>
        <w:spacing w:line="360" w:lineRule="auto"/>
        <w:jc w:val="both"/>
        <w:rPr>
          <w:rFonts w:ascii="David" w:hAnsi="David"/>
          <w:sz w:val="26"/>
          <w:szCs w:val="26"/>
          <w:u w:val="single"/>
        </w:rPr>
      </w:pPr>
      <w:r>
        <w:rPr>
          <w:rFonts w:ascii="David" w:hAnsi="David"/>
          <w:sz w:val="26"/>
          <w:szCs w:val="26"/>
          <w:u w:val="single"/>
          <w:rtl/>
        </w:rPr>
        <w:t>האישום הרביעי</w:t>
      </w: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בגדרו של האישום הרביעי הורשע הנאשם במעשה רצח ובניסיון לרצח. האירוע נושא אישום זה אירע שלוש שנים מאוחר יותר לאחר שהנאשם שוחרר ממעצר מנהלי ביום 17.3.2022 ושב לבית אמו בחברון. </w:t>
      </w:r>
    </w:p>
    <w:p w:rsidR="00C23EA9" w:rsidRDefault="00C23EA9" w:rsidP="00C23EA9">
      <w:pPr>
        <w:pStyle w:val="ad"/>
        <w:spacing w:line="240" w:lineRule="auto"/>
        <w:ind w:left="0"/>
        <w:jc w:val="both"/>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ביום 20.3.2022 השאיר הנאשם את מכשיר הטלפון שלו ברשותו של אחיו בא-ראם ונכנס לישראל במטרה להרוג יהודים. הנאשם נשא עליו תיק ובתוכו מגזרי תיל, שוקר חשמלי עם פנס, גז פלפל וסכין בעלת להב באורך כ-15 ס"מ (להלן באישום זה: </w:t>
      </w:r>
      <w:r>
        <w:rPr>
          <w:rFonts w:ascii="David" w:hAnsi="David" w:cs="David"/>
          <w:b/>
          <w:bCs/>
          <w:sz w:val="26"/>
          <w:szCs w:val="26"/>
          <w:rtl/>
        </w:rPr>
        <w:t>"הסכין"</w:t>
      </w:r>
      <w:r>
        <w:rPr>
          <w:rFonts w:ascii="David" w:hAnsi="David" w:cs="David"/>
          <w:sz w:val="26"/>
          <w:szCs w:val="26"/>
          <w:rtl/>
        </w:rPr>
        <w:t>) אותה רכש יום קודם לכן. הנאשם עטה כפפות על ידיו. הנאשם טיפס על גדר ההפרדה בין א-ראם לבית חנינה ונכנס לישראל, כשפניו לעיר ירושלים. לאחר הליכה רגלית עלה על מונית ונסע לאזור תלפיות.</w:t>
      </w:r>
    </w:p>
    <w:p w:rsidR="00C23EA9" w:rsidRDefault="00C23EA9" w:rsidP="00C23EA9">
      <w:pPr>
        <w:pStyle w:val="ad"/>
        <w:ind w:left="0"/>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lastRenderedPageBreak/>
        <w:t xml:space="preserve">הנאשם הגיע בשעת ערב מאוחרת לשכונת ארמון הנציב, שוטט ברחובות השכונה בכוונה לאתר קורבן יהודי ולרצוח אותו מתוך מניע לאומני ואידיאולוגי. לאחר כמה שעות, סמוך לשעה 01:20 ביום 21.3.2022, נכנס הנאשם לבניין ברחוב חנוך אלבק 11 בירושלים, עלה לקומה הראשונה, ניסה לפתוח את דלת הדירה הראשונה מימין אך לא הצליח כיוון שהייתה נעולה. הוא ניגש לדלת השנייה באותה קומה, פתח אותה כשהוא אוחז ביד אחת את הסכין ובידו השנייה  בשוקר ומאיר את דרכו באמצעות הפנס המורכב על השוקר. </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הבחין באיוון טירוונסקי ז"ל, יליד 1985 (להלן: </w:t>
      </w:r>
      <w:r>
        <w:rPr>
          <w:rFonts w:ascii="David" w:hAnsi="David" w:cs="David"/>
          <w:b/>
          <w:bCs/>
          <w:sz w:val="26"/>
          <w:szCs w:val="26"/>
          <w:rtl/>
        </w:rPr>
        <w:t>המנוח</w:t>
      </w:r>
      <w:r>
        <w:rPr>
          <w:rFonts w:ascii="David" w:hAnsi="David" w:cs="David"/>
          <w:sz w:val="26"/>
          <w:szCs w:val="26"/>
          <w:rtl/>
        </w:rPr>
        <w:t xml:space="preserve">), אזרח מולדובה העובד בישראל, שהתגורר בדירה יחד עם איגור אונוי, יליד 1984 (להלן: </w:t>
      </w:r>
      <w:r>
        <w:rPr>
          <w:rFonts w:ascii="David" w:hAnsi="David" w:cs="David"/>
          <w:b/>
          <w:bCs/>
          <w:sz w:val="26"/>
          <w:szCs w:val="26"/>
          <w:rtl/>
        </w:rPr>
        <w:t>איגור</w:t>
      </w:r>
      <w:r>
        <w:rPr>
          <w:rFonts w:ascii="David" w:hAnsi="David" w:cs="David"/>
          <w:sz w:val="26"/>
          <w:szCs w:val="26"/>
          <w:rtl/>
        </w:rPr>
        <w:t>). השניים, המנוח ואיגור היו ישנים במיטתם ואדם נוסף היה ישן בחדר אחר.</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הנאשם, שהניח שקורבנותיו יהודים, ניגש למיטתו של המנוח המצויה בצדו הימני של החדר, דקר את המנוח בעודו ישן באמצעות הסכין דקירה עמוקה בצוואר. לאחר מכן הסתובב לכיוון המיטה שהייתה בצדו השמאלי של החדר ודקר את איגור באמצעות הסכין דקירה עמוקה בצוואר. המנוח שקם ממיטתו, נעמד בחדר. הנאשם נס מהדירה והמנוח יצא בעקבותיו. לאחר שהמנוח שב לדירה הוא התמוטט ומת. לאיגור נגרמו חבלות קשות. </w:t>
      </w:r>
    </w:p>
    <w:p w:rsidR="00C23EA9" w:rsidRDefault="00C23EA9" w:rsidP="00C23EA9">
      <w:pPr>
        <w:pStyle w:val="ad"/>
        <w:ind w:left="0"/>
        <w:rPr>
          <w:rFonts w:ascii="David" w:hAnsi="David" w:cs="David"/>
          <w:sz w:val="26"/>
          <w:szCs w:val="26"/>
          <w:rtl/>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lastRenderedPageBreak/>
        <w:t>העבירות שבהן הורשע הן</w:t>
      </w:r>
      <w:r>
        <w:rPr>
          <w:rFonts w:ascii="David" w:hAnsi="David" w:cs="David"/>
          <w:b/>
          <w:bCs/>
          <w:sz w:val="26"/>
          <w:szCs w:val="26"/>
          <w:rtl/>
        </w:rPr>
        <w:t xml:space="preserve"> רצח בנסיבות מחמירות</w:t>
      </w:r>
      <w:r>
        <w:rPr>
          <w:rFonts w:ascii="David" w:hAnsi="David" w:cs="David"/>
          <w:sz w:val="26"/>
          <w:szCs w:val="26"/>
          <w:rtl/>
        </w:rPr>
        <w:t xml:space="preserve"> – עבירה לפי סעיפים 301א(1),(10) ו-(11) לחוק העונשין; </w:t>
      </w:r>
      <w:r>
        <w:rPr>
          <w:rFonts w:ascii="David" w:hAnsi="David" w:cs="David"/>
          <w:b/>
          <w:bCs/>
          <w:sz w:val="26"/>
          <w:szCs w:val="26"/>
          <w:rtl/>
        </w:rPr>
        <w:t>מעשה טרור של ניסיון רצח</w:t>
      </w:r>
      <w:r>
        <w:rPr>
          <w:rFonts w:ascii="David" w:hAnsi="David" w:cs="David"/>
          <w:sz w:val="26"/>
          <w:szCs w:val="26"/>
          <w:rtl/>
        </w:rPr>
        <w:t xml:space="preserve"> – עבירה לפי סעיף 305(1) לחוק, בצירוף סעיף 37(א) לחוק המאבק בטרור; </w:t>
      </w:r>
      <w:r>
        <w:rPr>
          <w:rFonts w:ascii="David" w:hAnsi="David" w:cs="David"/>
          <w:b/>
          <w:bCs/>
          <w:sz w:val="26"/>
          <w:szCs w:val="26"/>
          <w:rtl/>
        </w:rPr>
        <w:t>מעשה טרור של חבלה חמורה בנסיבות מחמירות</w:t>
      </w:r>
      <w:r>
        <w:rPr>
          <w:rFonts w:ascii="David" w:hAnsi="David" w:cs="David"/>
          <w:sz w:val="26"/>
          <w:szCs w:val="26"/>
          <w:rtl/>
        </w:rPr>
        <w:t xml:space="preserve"> – עבירה לפי סעיף 335(א)(1), בנסיבות סעיף 333 לחוק, בצירוף סעיף 37(א) לחוק המאבק בטרור; </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w:t>
      </w:r>
    </w:p>
    <w:p w:rsidR="00C23EA9" w:rsidRDefault="00C23EA9" w:rsidP="00C23EA9">
      <w:pPr>
        <w:pStyle w:val="ad"/>
        <w:rPr>
          <w:rFonts w:ascii="David" w:hAnsi="David" w:cs="David"/>
          <w:sz w:val="26"/>
          <w:szCs w:val="26"/>
        </w:rPr>
      </w:pPr>
    </w:p>
    <w:p w:rsidR="00C23EA9" w:rsidRDefault="00C23EA9" w:rsidP="00C23EA9">
      <w:pPr>
        <w:pStyle w:val="ad"/>
        <w:spacing w:line="360" w:lineRule="auto"/>
        <w:ind w:left="0"/>
        <w:jc w:val="both"/>
        <w:rPr>
          <w:rFonts w:ascii="David" w:hAnsi="David" w:cs="David"/>
          <w:b/>
          <w:bCs/>
          <w:sz w:val="26"/>
          <w:szCs w:val="26"/>
          <w:u w:val="single"/>
          <w:rtl/>
        </w:rPr>
      </w:pPr>
      <w:r>
        <w:rPr>
          <w:rFonts w:ascii="David" w:hAnsi="David" w:cs="David"/>
          <w:b/>
          <w:bCs/>
          <w:sz w:val="26"/>
          <w:szCs w:val="26"/>
          <w:u w:val="single"/>
          <w:rtl/>
        </w:rPr>
        <w:t>הראיות לעונש</w:t>
      </w: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לבקשת המאשימה הונח לפנינו תסקיר נפגעי עבירה, שנערך עבור ילדיהם של בני הזוג כדורי. התסקיר מבוסס על מפגשים עם בתם ובניהם של המנוחים ועל המסמכים. הוא מתאר את הרשמים של עורכת התסקיר מהמפגש עם הילדים, ומלמד על תמונת נזק עצובה ומכמירת לב, בשל אובדן כפול של שני ההורים באופן פתאומי ובביתם מבצרם, ובנסיבות כה קשות. לצד זאת הוזכר חוסר הוודאות באשר לזהות הרוצח עד לתפיסת הנאשם, שלווה בחשדות כלפי מי מהילדים, ופורט מידע על אודות המנוחים והילדים. מטעמים של צנעת הפרט לא נוכל לפרט את הדברים שנכתבו ונסתפק בהערכתה של עורכת התסקיר את תמונת הנזקים כ'קשה מנשוא' ובתיאור חומרת האובדן הבלתי הפיך שנגרם להם והשלכותיו הנרחבות על חייהם. ההמלצה בתסקיר היא לפיצוי כספי משמעותי לשלושת הילדים.</w:t>
      </w:r>
    </w:p>
    <w:p w:rsidR="00C23EA9" w:rsidRDefault="00C23EA9" w:rsidP="00C23EA9">
      <w:pPr>
        <w:pStyle w:val="ad"/>
        <w:spacing w:line="240" w:lineRule="auto"/>
        <w:ind w:left="0"/>
        <w:jc w:val="both"/>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lastRenderedPageBreak/>
        <w:t xml:space="preserve">המאשימה הגישה את גיליון הרישום הפלילי. לפי הגיליון לחובת הנאשם הרשעות קודמות בעבירות ביטחוניות ובהן הסתה ותמיכה בארגון עוין (משנת 2018) – בגינה נדון ל-9 חודשי מאסר, חברות בהתאגדות בלתי חוקית והפרת הוראה בדבר סגירת שטח (משנת 2013)- בגינן נדון ל-42 חודשי מאסר ולפני כן הורשע בעבירות רכוש ונדון גם לכן למאסר. סמוך לאחר מעשי הנאשם נושאי אישומים 2 ו-3, נעצר הנאשם במעצר מנהלי ושוחרר ממנו בסמוך לביצוע המעשים נושאי אישום 4.  </w:t>
      </w:r>
    </w:p>
    <w:p w:rsidR="00C23EA9" w:rsidRDefault="00C23EA9" w:rsidP="00C23EA9">
      <w:pPr>
        <w:pStyle w:val="ad"/>
        <w:rPr>
          <w:rFonts w:ascii="David" w:hAnsi="David" w:cs="David"/>
          <w:sz w:val="26"/>
          <w:szCs w:val="26"/>
        </w:rPr>
      </w:pPr>
    </w:p>
    <w:p w:rsidR="00C23EA9" w:rsidRDefault="00C23EA9" w:rsidP="00C23EA9">
      <w:pPr>
        <w:pStyle w:val="ad"/>
        <w:spacing w:line="360" w:lineRule="auto"/>
        <w:ind w:left="0"/>
        <w:jc w:val="both"/>
        <w:rPr>
          <w:rFonts w:ascii="David" w:hAnsi="David" w:cs="David"/>
          <w:b/>
          <w:bCs/>
          <w:sz w:val="26"/>
          <w:szCs w:val="26"/>
          <w:u w:val="single"/>
          <w:rtl/>
        </w:rPr>
      </w:pPr>
      <w:r>
        <w:rPr>
          <w:rFonts w:ascii="David" w:hAnsi="David" w:cs="David"/>
          <w:b/>
          <w:bCs/>
          <w:sz w:val="26"/>
          <w:szCs w:val="26"/>
          <w:u w:val="single"/>
          <w:rtl/>
        </w:rPr>
        <w:t>עיקרי הטיעונים לעונש</w:t>
      </w: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באת כוח המאשימה עמדה על החריגות הרבה שיש בדיון בעונשו של הנאשם. היא הגדירה אותו כ'אכזרי וחסר מעצורים' ותיארה את המעשים שנעשו על רקע שנאה, אידיאולוגיה חולנית ומעוותת, לא אנושית המונעת משנאה דתית טהורה בכוונה לרצוח כמה שיותר יהודים.</w:t>
      </w:r>
    </w:p>
    <w:p w:rsidR="00C23EA9" w:rsidRDefault="00C23EA9" w:rsidP="00C23EA9">
      <w:pPr>
        <w:pStyle w:val="ad"/>
        <w:spacing w:line="240" w:lineRule="auto"/>
        <w:ind w:left="0"/>
        <w:jc w:val="both"/>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בהתייחסה לערכים המוגנים הפנתה באת כוח המאשימה לערך של קדושת החיים. הנאשם, חבר בארגון הטרור דאעש, ביצע מעשי טרור של רצח חפים מפשע, ומעבר לקטילת חייהם של שלושה בני אדם, וניסיון לקטול את חייהם של שניים אחרים, תוך פציעתם, הביאו מעשיו של הנאשם לזריעת פחד ואימה כלפי החברה כולה ולפגיעה בתחושת הביטחון הכללית. אותו טרור מכוער ונתעב הביא בעיקר בקשר עם האישום השלישי לכך שמדינה שלמה חשה טלטלה ורעדה. על רקע זה טענה המאשימה לכך שמידת הפגיעה בערכים המוגנים היא ברף </w:t>
      </w:r>
      <w:r>
        <w:rPr>
          <w:rFonts w:ascii="David" w:hAnsi="David" w:cs="David"/>
          <w:sz w:val="26"/>
          <w:szCs w:val="26"/>
          <w:rtl/>
        </w:rPr>
        <w:lastRenderedPageBreak/>
        <w:t>הגבוה: שלושה קורבנות נרצחו בביתם, על לא עוול בכפם, והאחרים ניצלו בנס מתוצאה דומה שהנאשם ביקש להביא עליהם. לצד זאת עמדה באת כוח המאשימה על ההיבטים הנפשיים לנפגעים שנותרו בחיים ולבני המשפחה שלהם ושל אלו שנרצחו.</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באת כוח המאשימה לא עתרה להטלת עונש נפרד על העבירות נושא האישום הראשון, אלא טענה כי אלה מקרינות על האישומים האחרים. בהתייחסה לאישומים השני, השלישי והרביעי היא פירטה לגבי הנסיבות של כל אחד מהם, ועמדה על ההשפעה שהייתה לכל אירוע על הנפגעים. </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בהתייחסה לנסיבות המחמירות, ציינה באת כוח המאשימה כי נסיבות אלה התקיימו במלואן: תכנון מוקדם, לנאשם חלק בלעדי בביצוע, הנזק בפועל, הנזק הפוטנציאלי, השליטה באירועים ועוד. לשיטתה, באותם אירועים שבהם נדרש לקבוע מתחם מדובר במתחם צר, שכמעט ואינו מותיר מקום לנסיבות שאינן קשורות לביצוע העבירות, ואין נסיבות כלשהן שיכולות להצדיק הקלה בעונשו של הנאשם. </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על רקע זה עתרה המאשימה להטלת שלושה מאסרי עולם מצטברים בגין שני מעשי הרצח של בני הזוג כדורי ז"ל וכן בגין מעשה הרצח של איוון טירוונסקי ז"ל. לגבי מעשים אלה ביקשה המאשימה לקבוע כי מדובר ברצח </w:t>
      </w:r>
      <w:r>
        <w:rPr>
          <w:rFonts w:ascii="David" w:hAnsi="David" w:cs="David"/>
          <w:sz w:val="26"/>
          <w:szCs w:val="26"/>
          <w:rtl/>
        </w:rPr>
        <w:lastRenderedPageBreak/>
        <w:t>חריג בחומרתו, וזאת בשים לב להשתייכות הנאשם לארגון טרור, ולנסיבות הנוספות, תוך הפנייה להנחיית פרקליט המדינה 9/18.</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באשר לעבירות ניסון הרצח והפציעה, הגישה המאשימה פסיקה שתומכת בעמדתה וביקשה לקבוע בגין ניסיון הרצח ועבירת הפציעה בנסיבות מחמירות מתחם שנע בין 23 ל- 26 שנות מאסר ולהטיל על הנאשם עונש של 25 שנות מאסר. בגין ניסיון הרצח ועבירת החבלה שבוצעו כלפי איגור מתחם שנע בין 26 ל-29 שנות מאסר, ולהטיל על הנאשם עונש של 28 שנות מאסר.</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לסיכום, המאשימה ביקשה אפוא להטיל על הנאשם שלושה מאסרי עולם, ו-53 שנות מאסר שירוצו כולם במצטבר, ולצד זאת לקבוע כי הרצח היה 'חריג בחומרתו'. כמו-כן ביקשה המאשימה לפסוק פיצוי לנפגעים. </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באי כוח הנאשם לא חלקו על כך שמדובר במעשי רצח חמורים וקשים. הם הסכימו לכך שיש להטיל את עונשי המאסר במצטבר וחלקו על עמדת המאשימה בשני היבטים: </w:t>
      </w:r>
    </w:p>
    <w:p w:rsidR="00C23EA9" w:rsidRDefault="00C23EA9" w:rsidP="00C23EA9">
      <w:pPr>
        <w:pStyle w:val="ad"/>
        <w:rPr>
          <w:rFonts w:ascii="David" w:hAnsi="David" w:cs="David"/>
          <w:sz w:val="26"/>
          <w:szCs w:val="26"/>
          <w:u w:val="single"/>
        </w:rPr>
      </w:pPr>
    </w:p>
    <w:p w:rsidR="00C23EA9" w:rsidRDefault="00C23EA9" w:rsidP="00C23EA9">
      <w:pPr>
        <w:pStyle w:val="ad"/>
        <w:spacing w:line="360" w:lineRule="auto"/>
        <w:ind w:left="0" w:firstLine="720"/>
        <w:jc w:val="both"/>
        <w:rPr>
          <w:rFonts w:ascii="David" w:hAnsi="David" w:cs="David"/>
          <w:sz w:val="26"/>
          <w:szCs w:val="26"/>
          <w:rtl/>
        </w:rPr>
      </w:pPr>
      <w:r>
        <w:rPr>
          <w:rFonts w:ascii="David" w:hAnsi="David" w:cs="David"/>
          <w:sz w:val="26"/>
          <w:szCs w:val="26"/>
          <w:u w:val="single"/>
          <w:rtl/>
        </w:rPr>
        <w:t>האחד</w:t>
      </w:r>
      <w:r>
        <w:rPr>
          <w:rFonts w:ascii="David" w:hAnsi="David" w:cs="David"/>
          <w:sz w:val="26"/>
          <w:szCs w:val="26"/>
          <w:rtl/>
        </w:rPr>
        <w:t xml:space="preserve">, לטענתם, אין מקום לקבוע כי מדובר ברצח חריג בחומרתו, שכן הסמכות לקבוע כך נתונה למקרים חריגים ביותר, ואין להידרש לרקע לביצוע העבירה. לטענתם, הנסיבות שנקבעו בהנחיית פרקליט המדינה אינן </w:t>
      </w:r>
      <w:r>
        <w:rPr>
          <w:rFonts w:ascii="David" w:hAnsi="David" w:cs="David"/>
          <w:sz w:val="26"/>
          <w:szCs w:val="26"/>
          <w:rtl/>
        </w:rPr>
        <w:lastRenderedPageBreak/>
        <w:t xml:space="preserve">מתקיימות במקרה זה. טענה נוספת בהקשר לכך הייתה כי אין להלום קביעה כזו, שהיא קביעה עונשית, מכוח חוק שחרור על תנאי ממאסר, התשס"א-2001 (להלן: </w:t>
      </w:r>
      <w:r>
        <w:rPr>
          <w:rFonts w:ascii="David" w:hAnsi="David" w:cs="David"/>
          <w:b/>
          <w:bCs/>
          <w:sz w:val="26"/>
          <w:szCs w:val="26"/>
          <w:rtl/>
        </w:rPr>
        <w:t>"חוק שחרור על תנאי ממאסר"</w:t>
      </w:r>
      <w:r>
        <w:rPr>
          <w:rFonts w:ascii="David" w:hAnsi="David" w:cs="David"/>
          <w:sz w:val="26"/>
          <w:szCs w:val="26"/>
          <w:rtl/>
        </w:rPr>
        <w:t>) ולא מכוח חוק העונשין.</w:t>
      </w:r>
    </w:p>
    <w:p w:rsidR="00C23EA9" w:rsidRDefault="00C23EA9" w:rsidP="00C23EA9">
      <w:pPr>
        <w:pStyle w:val="ad"/>
        <w:spacing w:line="360" w:lineRule="auto"/>
        <w:ind w:left="0" w:firstLine="720"/>
        <w:jc w:val="both"/>
        <w:rPr>
          <w:rFonts w:ascii="David" w:hAnsi="David" w:cs="David"/>
          <w:sz w:val="26"/>
          <w:szCs w:val="26"/>
          <w:rtl/>
        </w:rPr>
      </w:pPr>
    </w:p>
    <w:p w:rsidR="00C23EA9" w:rsidRDefault="00C23EA9" w:rsidP="00C23EA9">
      <w:pPr>
        <w:pStyle w:val="ad"/>
        <w:spacing w:line="360" w:lineRule="auto"/>
        <w:ind w:left="0" w:firstLine="720"/>
        <w:jc w:val="both"/>
        <w:rPr>
          <w:rFonts w:ascii="David" w:hAnsi="David" w:cs="David"/>
          <w:sz w:val="26"/>
          <w:szCs w:val="26"/>
          <w:rtl/>
        </w:rPr>
      </w:pPr>
      <w:r>
        <w:rPr>
          <w:rFonts w:ascii="David" w:hAnsi="David" w:cs="David"/>
          <w:sz w:val="26"/>
          <w:szCs w:val="26"/>
          <w:u w:val="single"/>
          <w:rtl/>
        </w:rPr>
        <w:t>השני</w:t>
      </w:r>
      <w:r>
        <w:rPr>
          <w:rFonts w:ascii="David" w:hAnsi="David" w:cs="David"/>
          <w:sz w:val="26"/>
          <w:szCs w:val="26"/>
          <w:rtl/>
        </w:rPr>
        <w:t>, באי כוח הנאשם חלקו על מתחמי העונש שלהם טענה המאשימה. אף שהסכימו להבחנה שנעשתה בין האישום השני לאישום הרביעי, הם סברו כי יש לקבוע מתחמים שהעונשים בהם הם נמוכים יותר והרף התחתון בהם אינו עולה על 18-15 שנות מאסר.</w:t>
      </w:r>
    </w:p>
    <w:p w:rsidR="00C23EA9" w:rsidRDefault="00C23EA9">
      <w:pPr>
        <w:bidi w:val="0"/>
        <w:rPr>
          <w:rFonts w:ascii="David" w:eastAsiaTheme="minorHAnsi" w:hAnsi="David"/>
          <w:noProof w:val="0"/>
          <w:sz w:val="26"/>
          <w:szCs w:val="26"/>
          <w:rtl/>
        </w:rPr>
      </w:pPr>
      <w:r>
        <w:rPr>
          <w:rFonts w:ascii="David" w:hAnsi="David"/>
          <w:sz w:val="26"/>
          <w:szCs w:val="26"/>
          <w:rtl/>
        </w:rPr>
        <w:br w:type="page"/>
      </w:r>
    </w:p>
    <w:p w:rsidR="00C23EA9" w:rsidRDefault="00C23EA9" w:rsidP="00C23EA9">
      <w:pPr>
        <w:pStyle w:val="ad"/>
        <w:spacing w:line="360" w:lineRule="auto"/>
        <w:ind w:left="0"/>
        <w:jc w:val="both"/>
        <w:rPr>
          <w:rFonts w:ascii="David" w:hAnsi="David" w:cs="David"/>
          <w:b/>
          <w:bCs/>
          <w:sz w:val="26"/>
          <w:szCs w:val="26"/>
          <w:u w:val="single"/>
          <w:rtl/>
        </w:rPr>
      </w:pPr>
      <w:r>
        <w:rPr>
          <w:rFonts w:ascii="David" w:hAnsi="David" w:cs="David"/>
          <w:b/>
          <w:bCs/>
          <w:sz w:val="26"/>
          <w:szCs w:val="26"/>
          <w:u w:val="single"/>
          <w:rtl/>
        </w:rPr>
        <w:lastRenderedPageBreak/>
        <w:t>דיון והכרעה</w:t>
      </w: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שופטים הדנים בתיקי פשיעה חמורה נחשפים למעשי זוועה. העיסוק במעשי רצח, ובעבירות מין קשות, חושף מטבע הדברים את מי שעוסק בכך למבצעי המעשים המחליאים והמתועבים ביותר מן הצד האחד, ולקורבנותיהם של המעשים, אם נותרו בחיים, לבני המשפחה, ולמי שסבלו פגיעה פיזית ויותר מכך פגיעה נפשית מהחמורות שיש.</w:t>
      </w:r>
    </w:p>
    <w:p w:rsidR="00C23EA9" w:rsidRDefault="00C23EA9" w:rsidP="00C23EA9">
      <w:pPr>
        <w:pStyle w:val="ad"/>
        <w:spacing w:line="240" w:lineRule="auto"/>
        <w:ind w:left="0"/>
        <w:jc w:val="both"/>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אף בעולם הקשה, מלא הסבל והיגון הזה, מעשיו של הנאשם הם מעשים חריגים לחומרה, שהמלים הנכתבות אינן יכולות לבטא אותן. המדובר בסדרת מעשים נוראיים, שבה נשחטו ונטבחו, כך ממש, אנשים חפים מפשע בביתם מבצרם, על לא עוול בכפם, רק בשל היותם יהודים, שהנאשם הגיע אל ביתם. שני הפצועים היו אמורים, מבחינת הנאשם, למות גם הם, אלא שתכניתו לא צלחה. אם ננסה לדמות לעצמנו את השטן או את שליחיו, הרי שהנאשם במעשים השטניים הוא בהחלט מי שניתן לראותו כאחד השליחים.</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כאמור, אין מחלוקת על כך שיש לדון את הנאשם לשלושה מאסרי עולם מצטברים וכן לעונשי מאסר בגין העבירות הנוספות, שגם הם יצטברו (ר' לעניין הצטברות העונשים בעבירות אלה  ע"פ 5995/21 </w:t>
      </w:r>
      <w:r>
        <w:rPr>
          <w:rFonts w:ascii="David" w:hAnsi="David" w:cs="David"/>
          <w:b/>
          <w:bCs/>
          <w:sz w:val="26"/>
          <w:szCs w:val="26"/>
          <w:rtl/>
        </w:rPr>
        <w:t>אבו אלחסנה נ' מדינת ישראל,</w:t>
      </w:r>
      <w:r>
        <w:rPr>
          <w:rFonts w:ascii="David" w:hAnsi="David" w:cs="David"/>
          <w:sz w:val="26"/>
          <w:szCs w:val="26"/>
          <w:rtl/>
        </w:rPr>
        <w:t xml:space="preserve"> פסקה 37 (16.6.2022)</w:t>
      </w:r>
      <w:r>
        <w:rPr>
          <w:rFonts w:ascii="David" w:hAnsi="David" w:cs="David"/>
          <w:sz w:val="26"/>
          <w:szCs w:val="26"/>
        </w:rPr>
        <w:t>;</w:t>
      </w:r>
      <w:r>
        <w:rPr>
          <w:rFonts w:ascii="David" w:hAnsi="David" w:cs="David"/>
          <w:sz w:val="26"/>
          <w:szCs w:val="26"/>
          <w:rtl/>
        </w:rPr>
        <w:t xml:space="preserve"> </w:t>
      </w:r>
      <w:r>
        <w:rPr>
          <w:rFonts w:ascii="David" w:hAnsi="David" w:cs="David" w:hint="cs"/>
          <w:sz w:val="26"/>
          <w:szCs w:val="26"/>
          <w:rtl/>
        </w:rPr>
        <w:t>ע"פ 8686/15 </w:t>
      </w:r>
      <w:r>
        <w:rPr>
          <w:rFonts w:ascii="David" w:hAnsi="David" w:cs="David" w:hint="cs"/>
          <w:b/>
          <w:bCs/>
          <w:sz w:val="26"/>
          <w:szCs w:val="26"/>
          <w:rtl/>
        </w:rPr>
        <w:t>רומן גריבוב נ' מדינת ישראל</w:t>
      </w:r>
      <w:r>
        <w:rPr>
          <w:rFonts w:ascii="David" w:hAnsi="David" w:cs="David" w:hint="cs"/>
          <w:sz w:val="26"/>
          <w:szCs w:val="26"/>
          <w:rtl/>
        </w:rPr>
        <w:t>, פסקה 51 (3.10.2017)</w:t>
      </w:r>
      <w:r>
        <w:rPr>
          <w:rFonts w:ascii="David" w:hAnsi="David" w:cs="David"/>
          <w:sz w:val="26"/>
          <w:szCs w:val="26"/>
        </w:rPr>
        <w:t>;</w:t>
      </w:r>
      <w:r>
        <w:rPr>
          <w:rFonts w:ascii="David" w:hAnsi="David" w:cs="David"/>
          <w:sz w:val="26"/>
          <w:szCs w:val="26"/>
          <w:rtl/>
        </w:rPr>
        <w:t xml:space="preserve"> </w:t>
      </w:r>
      <w:r>
        <w:rPr>
          <w:rFonts w:ascii="David" w:hAnsi="David" w:cs="David" w:hint="cs"/>
          <w:sz w:val="26"/>
          <w:szCs w:val="26"/>
          <w:rtl/>
        </w:rPr>
        <w:t>ע"פ 5066/18 </w:t>
      </w:r>
      <w:r>
        <w:rPr>
          <w:rFonts w:ascii="David" w:hAnsi="David" w:cs="David" w:hint="cs"/>
          <w:b/>
          <w:bCs/>
          <w:sz w:val="26"/>
          <w:szCs w:val="26"/>
          <w:rtl/>
        </w:rPr>
        <w:t>רוזקוב נ' מדינת ישראל</w:t>
      </w:r>
      <w:r>
        <w:rPr>
          <w:rFonts w:ascii="David" w:hAnsi="David" w:cs="David" w:hint="cs"/>
          <w:sz w:val="26"/>
          <w:szCs w:val="26"/>
          <w:rtl/>
        </w:rPr>
        <w:t xml:space="preserve">, פסקה 68 (4.9.2022)). </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המחלוקת היא אפוא לגבי העונשים הנוספים ולגבי הקביעה כי הנאשם ביצע רצח חריג בחומרתו.</w:t>
      </w:r>
    </w:p>
    <w:p w:rsidR="00C23EA9" w:rsidRDefault="00C23EA9" w:rsidP="00C23EA9">
      <w:pPr>
        <w:pStyle w:val="ad"/>
        <w:rPr>
          <w:rFonts w:ascii="David" w:hAnsi="David" w:cs="David"/>
          <w:sz w:val="26"/>
          <w:szCs w:val="26"/>
        </w:rPr>
      </w:pPr>
    </w:p>
    <w:p w:rsidR="00C23EA9" w:rsidRDefault="00C23EA9" w:rsidP="00C23EA9">
      <w:pPr>
        <w:pStyle w:val="ad"/>
        <w:spacing w:line="360" w:lineRule="auto"/>
        <w:ind w:left="0"/>
        <w:jc w:val="both"/>
        <w:rPr>
          <w:rFonts w:ascii="David" w:hAnsi="David" w:cs="David"/>
          <w:sz w:val="26"/>
          <w:szCs w:val="26"/>
          <w:u w:val="single"/>
          <w:rtl/>
        </w:rPr>
      </w:pPr>
      <w:r>
        <w:rPr>
          <w:rFonts w:ascii="David" w:hAnsi="David" w:cs="David"/>
          <w:sz w:val="26"/>
          <w:szCs w:val="26"/>
          <w:u w:val="single"/>
          <w:rtl/>
        </w:rPr>
        <w:t>ביצוע מעשה הרצח בנסיבות חריגות בחומרתן</w:t>
      </w:r>
    </w:p>
    <w:p w:rsidR="00C23EA9" w:rsidRDefault="00C23EA9" w:rsidP="00C23EA9">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המונח 'רצח חריג בחומרתו' הוכנס לספר החוקים בתיקון מס' 14 לחוק שחרור על תנאי ממאסר והביא להוספת סעיף 30ב' לחוק זה:</w:t>
      </w:r>
    </w:p>
    <w:p w:rsidR="00C23EA9" w:rsidRDefault="00C23EA9" w:rsidP="00C23EA9">
      <w:pPr>
        <w:pStyle w:val="ad"/>
        <w:spacing w:line="360" w:lineRule="auto"/>
        <w:ind w:left="0"/>
        <w:jc w:val="both"/>
        <w:rPr>
          <w:rFonts w:ascii="David" w:hAnsi="David" w:cs="David"/>
          <w:sz w:val="26"/>
          <w:szCs w:val="26"/>
        </w:rPr>
      </w:pPr>
    </w:p>
    <w:p w:rsidR="00C23EA9" w:rsidRDefault="00C23EA9" w:rsidP="00C23EA9">
      <w:pPr>
        <w:pStyle w:val="ad"/>
        <w:spacing w:line="240" w:lineRule="auto"/>
        <w:ind w:left="1440" w:right="851" w:hanging="720"/>
        <w:jc w:val="both"/>
        <w:rPr>
          <w:rFonts w:ascii="David" w:hAnsi="David" w:cs="David"/>
          <w:sz w:val="26"/>
          <w:szCs w:val="26"/>
          <w:rtl/>
        </w:rPr>
      </w:pPr>
      <w:r>
        <w:rPr>
          <w:rFonts w:ascii="David" w:hAnsi="David" w:cs="David"/>
          <w:sz w:val="26"/>
          <w:szCs w:val="26"/>
          <w:rtl/>
        </w:rPr>
        <w:t>"(א)</w:t>
      </w:r>
      <w:r>
        <w:rPr>
          <w:rFonts w:ascii="David" w:hAnsi="David" w:cs="David"/>
          <w:sz w:val="26"/>
          <w:szCs w:val="26"/>
          <w:rtl/>
        </w:rPr>
        <w:tab/>
        <w:t>בית משפט שהרשיע אדם ברצח רשאי לקבוע, לעניין המלצה לקציבת עונש מאסר, שאותו אדם ביצע את המעשה בנסיבות חריגות בחומרתן.</w:t>
      </w:r>
    </w:p>
    <w:p w:rsidR="00C23EA9" w:rsidRDefault="00C23EA9" w:rsidP="00C23EA9">
      <w:pPr>
        <w:pStyle w:val="ad"/>
        <w:spacing w:line="240" w:lineRule="auto"/>
        <w:ind w:left="1440" w:right="851" w:hanging="720"/>
        <w:jc w:val="both"/>
        <w:rPr>
          <w:rFonts w:ascii="David" w:hAnsi="David" w:cs="David"/>
          <w:sz w:val="26"/>
          <w:szCs w:val="26"/>
          <w:rtl/>
        </w:rPr>
      </w:pPr>
    </w:p>
    <w:p w:rsidR="00C23EA9" w:rsidRDefault="00C23EA9" w:rsidP="00C23EA9">
      <w:pPr>
        <w:pStyle w:val="ad"/>
        <w:spacing w:line="240" w:lineRule="auto"/>
        <w:ind w:left="1440" w:right="851" w:hanging="720"/>
        <w:jc w:val="both"/>
        <w:rPr>
          <w:rFonts w:ascii="David" w:hAnsi="David" w:cs="David"/>
          <w:sz w:val="26"/>
          <w:szCs w:val="26"/>
          <w:rtl/>
        </w:rPr>
      </w:pPr>
      <w:r>
        <w:rPr>
          <w:rFonts w:ascii="David" w:hAnsi="David" w:cs="David"/>
          <w:sz w:val="26"/>
          <w:szCs w:val="26"/>
          <w:rtl/>
        </w:rPr>
        <w:t>(ב)</w:t>
      </w:r>
      <w:r>
        <w:rPr>
          <w:rFonts w:ascii="David" w:hAnsi="David" w:cs="David"/>
          <w:sz w:val="26"/>
          <w:szCs w:val="26"/>
          <w:rtl/>
        </w:rPr>
        <w:tab/>
        <w:t>קבע בית המשפט כאמור בסעיף קטן (א) יחולו הוראות סעיף 29 בשינויים אלה:</w:t>
      </w:r>
    </w:p>
    <w:p w:rsidR="00C23EA9" w:rsidRDefault="00C23EA9" w:rsidP="00C23EA9">
      <w:pPr>
        <w:pStyle w:val="ad"/>
        <w:spacing w:line="240" w:lineRule="auto"/>
        <w:ind w:left="1440" w:right="851" w:hanging="720"/>
        <w:jc w:val="both"/>
        <w:rPr>
          <w:rFonts w:ascii="David" w:hAnsi="David" w:cs="David"/>
          <w:sz w:val="26"/>
          <w:szCs w:val="26"/>
          <w:rtl/>
        </w:rPr>
      </w:pPr>
    </w:p>
    <w:p w:rsidR="00C23EA9" w:rsidRDefault="00C23EA9" w:rsidP="00C23EA9">
      <w:pPr>
        <w:ind w:left="2069" w:right="851" w:hanging="567"/>
        <w:jc w:val="both"/>
        <w:rPr>
          <w:rFonts w:ascii="David" w:hAnsi="David"/>
          <w:sz w:val="26"/>
          <w:szCs w:val="26"/>
          <w:rtl/>
        </w:rPr>
      </w:pPr>
      <w:r>
        <w:rPr>
          <w:rFonts w:ascii="David" w:hAnsi="David"/>
          <w:sz w:val="26"/>
          <w:szCs w:val="26"/>
          <w:rtl/>
        </w:rPr>
        <w:t>(1)</w:t>
      </w:r>
      <w:r>
        <w:rPr>
          <w:rFonts w:ascii="David" w:hAnsi="David"/>
          <w:sz w:val="26"/>
          <w:szCs w:val="26"/>
          <w:rtl/>
        </w:rPr>
        <w:tab/>
        <w:t>על אף האמור בסעיף קטן (א) ועדת שחרורים מיוחדת לא תמליץ להקל בעונשו של האסיר בטרם חלפו לפחות 15 שנים מהיום שבו החל לשאת את מעצרו, ובלבד שהתקופה שתמליץ לקצוב לא תפחת מ-40 שנים..."</w:t>
      </w:r>
    </w:p>
    <w:p w:rsidR="00C23EA9" w:rsidRDefault="00C23EA9" w:rsidP="00C23EA9">
      <w:pPr>
        <w:pStyle w:val="ad"/>
        <w:spacing w:line="360" w:lineRule="auto"/>
        <w:ind w:left="0"/>
        <w:jc w:val="both"/>
        <w:rPr>
          <w:rFonts w:ascii="David" w:hAnsi="David" w:cs="David"/>
          <w:sz w:val="26"/>
          <w:szCs w:val="26"/>
          <w:rtl/>
        </w:rPr>
      </w:pPr>
    </w:p>
    <w:p w:rsidR="00C23EA9" w:rsidRDefault="00C23EA9" w:rsidP="00C23EA9">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הוראה נוספת שבה יש נפקות לקביעה שהמעשה בוצע בנסיבות חריגות בחומרתן הוכנסה במסגרת התיקון לסעיף 30 לחוק הממשלה, התשס"א-2001</w:t>
      </w:r>
      <w:r w:rsidR="0074401E">
        <w:rPr>
          <w:rFonts w:ascii="David" w:hAnsi="David" w:cs="David" w:hint="cs"/>
          <w:sz w:val="26"/>
          <w:szCs w:val="26"/>
          <w:rtl/>
        </w:rPr>
        <w:t xml:space="preserve"> (להלן: </w:t>
      </w:r>
      <w:r w:rsidR="0074401E">
        <w:rPr>
          <w:rFonts w:ascii="David" w:hAnsi="David" w:cs="David" w:hint="cs"/>
          <w:b/>
          <w:bCs/>
          <w:sz w:val="26"/>
          <w:szCs w:val="26"/>
          <w:rtl/>
        </w:rPr>
        <w:t>חוק הממשלה</w:t>
      </w:r>
      <w:r w:rsidR="0074401E" w:rsidRPr="0074401E">
        <w:rPr>
          <w:rFonts w:ascii="David" w:hAnsi="David" w:cs="David" w:hint="cs"/>
          <w:sz w:val="26"/>
          <w:szCs w:val="26"/>
          <w:rtl/>
        </w:rPr>
        <w:t>)</w:t>
      </w:r>
      <w:r>
        <w:rPr>
          <w:rFonts w:ascii="David" w:hAnsi="David" w:cs="David"/>
          <w:sz w:val="26"/>
          <w:szCs w:val="26"/>
          <w:rtl/>
        </w:rPr>
        <w:t>. בתיקון 10 לחוק הוסף סעיף 8ב'(א1) קבע כי:</w:t>
      </w:r>
    </w:p>
    <w:p w:rsidR="00C23EA9" w:rsidRDefault="00C23EA9" w:rsidP="00C23EA9">
      <w:pPr>
        <w:pStyle w:val="ad"/>
        <w:spacing w:line="360" w:lineRule="auto"/>
        <w:ind w:left="84"/>
        <w:jc w:val="both"/>
        <w:rPr>
          <w:rFonts w:ascii="David" w:hAnsi="David" w:cs="David"/>
          <w:sz w:val="26"/>
          <w:szCs w:val="26"/>
        </w:rPr>
      </w:pPr>
    </w:p>
    <w:p w:rsidR="00C23EA9" w:rsidRDefault="00C23EA9" w:rsidP="00C23EA9">
      <w:pPr>
        <w:pStyle w:val="ad"/>
        <w:spacing w:line="240" w:lineRule="auto"/>
        <w:ind w:right="851"/>
        <w:jc w:val="both"/>
        <w:rPr>
          <w:rFonts w:ascii="David" w:hAnsi="David" w:cs="David"/>
          <w:sz w:val="26"/>
          <w:szCs w:val="26"/>
          <w:rtl/>
        </w:rPr>
      </w:pPr>
      <w:r>
        <w:rPr>
          <w:rFonts w:ascii="David" w:hAnsi="David" w:cs="David"/>
          <w:sz w:val="26"/>
          <w:szCs w:val="26"/>
          <w:rtl/>
        </w:rPr>
        <w:t>"לא ייכלל בהחלטה על שחרור אסיר כאמור בסעיף קטן (א) אדם שהורשע ברצח, שלגביו קבע בית המשפט כאמור בסעיף 30ב(א) לחוק שחרור על תנאי ממאסר, התשס"א-2001, שהוא ביצע את המעשה בנסיבות חריגות בחומרתן"</w:t>
      </w:r>
    </w:p>
    <w:p w:rsidR="00C23EA9" w:rsidRDefault="00C23EA9" w:rsidP="00C23EA9">
      <w:pPr>
        <w:pStyle w:val="ad"/>
        <w:spacing w:line="360" w:lineRule="auto"/>
        <w:ind w:left="84"/>
        <w:jc w:val="both"/>
        <w:rPr>
          <w:rFonts w:ascii="David" w:hAnsi="David" w:cs="David"/>
          <w:sz w:val="26"/>
          <w:szCs w:val="26"/>
          <w:rtl/>
        </w:rPr>
      </w:pPr>
    </w:p>
    <w:p w:rsidR="00C23EA9" w:rsidRDefault="00C23EA9" w:rsidP="00C23EA9">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המאשימה ביקשה לקבוע כי מעשה הרצח אכן בוצע בנסיבות חריגות בחומרתן. הסיבה שניתנה לכך הייתה הצהרתית – ערכית ולאו דווקא מעשית, שכן בעניינו של הנאשם חל סעיף 40 לחוק המאבק בטרור, שמגביל ממילא את האפשרות לקציבת עונשו. באי כוח הנאשם חלקו על התקיימות הנסיבות המצדיקות את הקביעה האמורה וטענו כי עניינו של הנאשם אינו נופל בגדר המקרים המפורטים בהנחיית פרקליט המדינה המצדיקים עתירה לקביעה כאמור.</w:t>
      </w:r>
    </w:p>
    <w:p w:rsidR="00C23EA9" w:rsidRDefault="00C23EA9" w:rsidP="00C23EA9">
      <w:pPr>
        <w:pStyle w:val="ad"/>
        <w:spacing w:line="360" w:lineRule="auto"/>
        <w:ind w:left="84"/>
        <w:jc w:val="both"/>
        <w:rPr>
          <w:rFonts w:ascii="David" w:hAnsi="David" w:cs="David"/>
          <w:sz w:val="26"/>
          <w:szCs w:val="26"/>
        </w:rPr>
      </w:pPr>
    </w:p>
    <w:p w:rsidR="00C23EA9" w:rsidRDefault="00C23EA9" w:rsidP="00C23EA9">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 xml:space="preserve">אין חולק כי יש לנקוט זהירות בטרם קביעה כי הנסיבות "חריגות בחומרתן", ולעשות כן במשורה. </w:t>
      </w:r>
    </w:p>
    <w:p w:rsidR="00C23EA9" w:rsidRDefault="00C23EA9" w:rsidP="00C23EA9">
      <w:pPr>
        <w:pStyle w:val="ad"/>
        <w:rPr>
          <w:rFonts w:ascii="David" w:hAnsi="David" w:cs="David"/>
          <w:sz w:val="26"/>
          <w:szCs w:val="26"/>
        </w:rPr>
      </w:pPr>
    </w:p>
    <w:p w:rsidR="00C23EA9" w:rsidRDefault="00C23EA9" w:rsidP="00C23EA9">
      <w:pPr>
        <w:pStyle w:val="ad"/>
        <w:spacing w:line="360" w:lineRule="auto"/>
        <w:ind w:left="84"/>
        <w:jc w:val="both"/>
        <w:rPr>
          <w:rFonts w:ascii="David" w:hAnsi="David" w:cs="David"/>
          <w:sz w:val="26"/>
          <w:szCs w:val="26"/>
          <w:rtl/>
        </w:rPr>
      </w:pPr>
      <w:r>
        <w:rPr>
          <w:rFonts w:ascii="David" w:hAnsi="David" w:cs="David"/>
          <w:sz w:val="26"/>
          <w:szCs w:val="26"/>
          <w:rtl/>
        </w:rPr>
        <w:t xml:space="preserve">בע"פ 7899/16 </w:t>
      </w:r>
      <w:r>
        <w:rPr>
          <w:rFonts w:ascii="David" w:hAnsi="David" w:cs="David"/>
          <w:b/>
          <w:bCs/>
          <w:sz w:val="26"/>
          <w:szCs w:val="26"/>
          <w:rtl/>
        </w:rPr>
        <w:t xml:space="preserve">אבו חאשיה נ' מדינת ישראל, </w:t>
      </w:r>
      <w:r>
        <w:rPr>
          <w:rFonts w:ascii="David" w:hAnsi="David" w:cs="David"/>
          <w:sz w:val="26"/>
          <w:szCs w:val="26"/>
          <w:rtl/>
        </w:rPr>
        <w:t xml:space="preserve">פסקה 6 (16.10.2018) (להלן: עניין </w:t>
      </w:r>
      <w:r>
        <w:rPr>
          <w:rFonts w:ascii="David" w:hAnsi="David" w:cs="David"/>
          <w:b/>
          <w:bCs/>
          <w:sz w:val="26"/>
          <w:szCs w:val="26"/>
          <w:rtl/>
        </w:rPr>
        <w:t>אבו חאשיה</w:t>
      </w:r>
      <w:r>
        <w:rPr>
          <w:rFonts w:ascii="David" w:hAnsi="David" w:cs="David"/>
          <w:sz w:val="26"/>
          <w:szCs w:val="26"/>
          <w:rtl/>
        </w:rPr>
        <w:t>) נקבע בעניין זה כלהלן:</w:t>
      </w:r>
    </w:p>
    <w:p w:rsidR="00C23EA9" w:rsidRDefault="00C23EA9" w:rsidP="00C23EA9">
      <w:pPr>
        <w:pStyle w:val="ad"/>
        <w:rPr>
          <w:rFonts w:ascii="David" w:hAnsi="David" w:cs="David"/>
          <w:sz w:val="26"/>
          <w:szCs w:val="26"/>
        </w:rPr>
      </w:pPr>
    </w:p>
    <w:p w:rsidR="00C23EA9" w:rsidRDefault="00C23EA9" w:rsidP="00C23EA9">
      <w:pPr>
        <w:pStyle w:val="Ruller4"/>
        <w:spacing w:line="240" w:lineRule="auto"/>
        <w:ind w:left="720" w:right="851"/>
        <w:rPr>
          <w:rFonts w:ascii="David" w:hAnsi="David" w:cs="David"/>
          <w:spacing w:val="0"/>
          <w:sz w:val="26"/>
          <w:szCs w:val="26"/>
          <w:rtl/>
        </w:rPr>
      </w:pPr>
      <w:r>
        <w:rPr>
          <w:rFonts w:ascii="David" w:hAnsi="David" w:cs="David"/>
          <w:spacing w:val="0"/>
          <w:sz w:val="26"/>
          <w:szCs w:val="26"/>
          <w:rtl/>
        </w:rPr>
        <w:lastRenderedPageBreak/>
        <w:t>"מובן כי כל מעשה רצח הוא מזעזע בפני עצמו, ובשפת הדיבור היומיומי קיים קושי לקבוע כי מעשה רצח מסויים איננו 'חריג בחומרתו'. למרות זאת, המחוקק מצווה עלינו להגדיר מעשי רצח 'חריגים בחומרתם' בהשוואה למקרי רצח המובאים בדרך כלל לפתחם של בתי המשפט. ברור אפוא, כבר מתוך לשון החוק, כי הוראת סעיף 30ב נועדה למקרים חריגים, ויישומה צריך להיעשות במשורה... על פי דברי ההסבר להצעת החוק, סעיף זה מיועד ל'מעשי</w:t>
      </w:r>
      <w:r>
        <w:rPr>
          <w:rFonts w:ascii="David" w:hAnsi="David" w:cs="David"/>
          <w:spacing w:val="0"/>
          <w:sz w:val="26"/>
          <w:szCs w:val="26"/>
        </w:rPr>
        <w:t xml:space="preserve"> </w:t>
      </w:r>
      <w:r>
        <w:rPr>
          <w:rFonts w:ascii="David" w:hAnsi="David" w:cs="David"/>
          <w:spacing w:val="0"/>
          <w:sz w:val="26"/>
          <w:szCs w:val="26"/>
          <w:rtl/>
        </w:rPr>
        <w:t>רצח</w:t>
      </w:r>
      <w:r>
        <w:rPr>
          <w:rFonts w:ascii="David" w:hAnsi="David" w:cs="David"/>
          <w:spacing w:val="0"/>
          <w:sz w:val="26"/>
          <w:szCs w:val="26"/>
        </w:rPr>
        <w:t xml:space="preserve"> </w:t>
      </w:r>
      <w:r>
        <w:rPr>
          <w:rFonts w:ascii="David" w:hAnsi="David" w:cs="David"/>
          <w:spacing w:val="0"/>
          <w:sz w:val="26"/>
          <w:szCs w:val="26"/>
          <w:rtl/>
        </w:rPr>
        <w:t>חריגים, אכזריים</w:t>
      </w:r>
      <w:r>
        <w:rPr>
          <w:rFonts w:ascii="David" w:hAnsi="David" w:cs="David"/>
          <w:spacing w:val="0"/>
          <w:sz w:val="26"/>
          <w:szCs w:val="26"/>
        </w:rPr>
        <w:t xml:space="preserve"> </w:t>
      </w:r>
      <w:r>
        <w:rPr>
          <w:rFonts w:ascii="David" w:hAnsi="David" w:cs="David"/>
          <w:spacing w:val="0"/>
          <w:sz w:val="26"/>
          <w:szCs w:val="26"/>
          <w:rtl/>
        </w:rPr>
        <w:t>או</w:t>
      </w:r>
      <w:r>
        <w:rPr>
          <w:rFonts w:ascii="David" w:hAnsi="David" w:cs="David"/>
          <w:spacing w:val="0"/>
          <w:sz w:val="26"/>
          <w:szCs w:val="26"/>
        </w:rPr>
        <w:t xml:space="preserve"> </w:t>
      </w:r>
      <w:r>
        <w:rPr>
          <w:rFonts w:ascii="David" w:hAnsi="David" w:cs="David"/>
          <w:spacing w:val="0"/>
          <w:sz w:val="26"/>
          <w:szCs w:val="26"/>
          <w:rtl/>
        </w:rPr>
        <w:t>מרובי</w:t>
      </w:r>
      <w:r>
        <w:rPr>
          <w:rFonts w:ascii="David" w:hAnsi="David" w:cs="David"/>
          <w:spacing w:val="0"/>
          <w:sz w:val="26"/>
          <w:szCs w:val="26"/>
        </w:rPr>
        <w:t xml:space="preserve"> </w:t>
      </w:r>
      <w:r>
        <w:rPr>
          <w:rFonts w:ascii="David" w:hAnsi="David" w:cs="David"/>
          <w:spacing w:val="0"/>
          <w:sz w:val="26"/>
          <w:szCs w:val="26"/>
          <w:rtl/>
        </w:rPr>
        <w:t xml:space="preserve">קורבנות' (ה"ח 566; ראו גם הדוגמאות שהוזכרו במהלך הליכי החקיקה (פרוטוקול מס' 237 מישיבת ועדת החוקה, חוק ומשפט מיום 22.9.2014)... אינני סבור כי תנאי להפעלת סעיף 30ב הוא הצטברות של מספר רכיבים בעלי חומרה יתרה; אך אני נכון לקבל את הטענה כי לא כל מניע אידיאולוגי מוביל בהכרח להגדרה של 'נסיבות חריגות בחומרתן'". ראו גם ע"פ 4039/19 </w:t>
      </w:r>
      <w:r>
        <w:rPr>
          <w:rFonts w:ascii="David" w:hAnsi="David" w:cs="David"/>
          <w:b/>
          <w:bCs/>
          <w:spacing w:val="0"/>
          <w:sz w:val="26"/>
          <w:szCs w:val="26"/>
          <w:rtl/>
        </w:rPr>
        <w:t xml:space="preserve">נחמני נ' מדינת ישראל, </w:t>
      </w:r>
      <w:r>
        <w:rPr>
          <w:rFonts w:ascii="David" w:hAnsi="David" w:cs="David"/>
          <w:spacing w:val="0"/>
          <w:sz w:val="26"/>
          <w:szCs w:val="26"/>
          <w:rtl/>
        </w:rPr>
        <w:t xml:space="preserve">פסקאות 100-93 וההפניות שם (17.3.2021)). </w:t>
      </w:r>
    </w:p>
    <w:p w:rsidR="00C23EA9" w:rsidRDefault="00C23EA9" w:rsidP="00C23EA9">
      <w:pPr>
        <w:pStyle w:val="ad"/>
        <w:rPr>
          <w:rFonts w:ascii="David" w:hAnsi="David" w:cs="David"/>
          <w:sz w:val="26"/>
          <w:szCs w:val="26"/>
          <w:rtl/>
        </w:rPr>
      </w:pP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84" w:firstLine="0"/>
        <w:jc w:val="both"/>
        <w:rPr>
          <w:rFonts w:ascii="David" w:eastAsia="Times New Roman" w:hAnsi="David" w:cs="David"/>
          <w:noProof/>
          <w:sz w:val="26"/>
          <w:szCs w:val="26"/>
          <w:rtl/>
        </w:rPr>
      </w:pPr>
      <w:r>
        <w:rPr>
          <w:rFonts w:ascii="David" w:hAnsi="David" w:cs="David"/>
          <w:sz w:val="26"/>
          <w:szCs w:val="26"/>
          <w:rtl/>
        </w:rPr>
        <w:t>המקרה שלפנינו הולם את הקביעה כי הנסיבות של מעשי הרצח הן 'חריגות בחומרתן'. מדובר בהצטברות של שלושה אירועים שונים, בהם הנאשם ביקש לקטול חמישה בני אדם והצליח בקטילתם של שלושה, לא משום שלא ניסה, אלא משום שהניסיון לגבי שניים לא צלח; בין קורבנותיו היו אנשים שישנו במיטותיהם, ונערה צעירה אליה התגנב מאחור – כל אלה מאופיינים בסגנון תקיפה זהה: דקירות סכין היישר באזור הצוואר, בלי שיש לקורבן יכולת להתגונן ותוך ניסיון ברור להביא למותם</w:t>
      </w:r>
      <w:r>
        <w:rPr>
          <w:rFonts w:ascii="David" w:hAnsi="David" w:cs="David"/>
          <w:sz w:val="26"/>
          <w:szCs w:val="26"/>
        </w:rPr>
        <w:t>;</w:t>
      </w:r>
      <w:r>
        <w:rPr>
          <w:rFonts w:ascii="David" w:hAnsi="David" w:cs="David"/>
          <w:sz w:val="26"/>
          <w:szCs w:val="26"/>
          <w:rtl/>
        </w:rPr>
        <w:t xml:space="preserve"> הנאשם ביצע את המעשה כשהוא חדור שנאה עמוקה, ואף חזר לבצעם בהפרש של שנים, שבהן שהה במעצר מנהלי, כשהוא בלתי נלאה ממימוש תפיסת עולמו הרצחנית ועדיין נותר נחוש לרצוח יהודים; ובאשר לבני הזוג כדורי עשה כן לבני אותו "תא משפחתי" (ר' תפ"ח </w:t>
      </w:r>
      <w:r>
        <w:rPr>
          <w:rFonts w:ascii="David" w:hAnsi="David" w:cs="David"/>
          <w:sz w:val="26"/>
          <w:szCs w:val="26"/>
          <w:rtl/>
        </w:rPr>
        <w:lastRenderedPageBreak/>
        <w:t xml:space="preserve">(ת"א) 23881-12-15 </w:t>
      </w:r>
      <w:r>
        <w:rPr>
          <w:rFonts w:ascii="David" w:hAnsi="David" w:cs="David"/>
          <w:b/>
          <w:bCs/>
          <w:sz w:val="26"/>
          <w:szCs w:val="26"/>
          <w:rtl/>
        </w:rPr>
        <w:t xml:space="preserve">מדינת ישראל נ' חליל </w:t>
      </w:r>
      <w:r>
        <w:rPr>
          <w:rFonts w:ascii="David" w:hAnsi="David" w:cs="David"/>
          <w:sz w:val="26"/>
          <w:szCs w:val="26"/>
          <w:rtl/>
        </w:rPr>
        <w:t>(28.11.2016)).</w:t>
      </w:r>
      <w:r>
        <w:rPr>
          <w:rFonts w:ascii="David" w:eastAsia="Times New Roman" w:hAnsi="David" w:cs="David"/>
          <w:noProof/>
          <w:sz w:val="26"/>
          <w:szCs w:val="26"/>
          <w:rtl/>
        </w:rPr>
        <w:t xml:space="preserve"> התרשמותנו מתגובותיו בחקירה ובמשפט של הנאשם והאופן בו התנהג, לימדו על היעדר כל חרטה או צער ואף ההיפך – ניכר כי הנאשם התגאה במעשיו ושמח בהם.</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84" w:firstLine="0"/>
        <w:jc w:val="both"/>
        <w:rPr>
          <w:rFonts w:ascii="David" w:eastAsia="Times New Roman" w:hAnsi="David" w:cs="David"/>
          <w:noProof/>
          <w:sz w:val="26"/>
          <w:szCs w:val="26"/>
          <w:rtl/>
        </w:rPr>
      </w:pPr>
      <w:r>
        <w:rPr>
          <w:rFonts w:ascii="David" w:hAnsi="David" w:cs="David"/>
          <w:sz w:val="26"/>
          <w:szCs w:val="26"/>
          <w:rtl/>
        </w:rPr>
        <w:t>לא מצאתי ממש בטענות כי הוראות אלה אינן כלולות בחוק העונשין אלא בחוק שחרור על תנאי ממאסר. המדובר בהוראות חוק תקפה ורלוונטית ואין במיקומה עלי ספר החוקים כדי לגרוע מתוקפה המשפטי.</w:t>
      </w:r>
      <w:r>
        <w:rPr>
          <w:rFonts w:ascii="David" w:eastAsia="Times New Roman" w:hAnsi="David" w:cs="David"/>
          <w:noProof/>
          <w:sz w:val="26"/>
          <w:szCs w:val="26"/>
          <w:rtl/>
        </w:rPr>
        <w:t xml:space="preserve"> בנוסף אין ממש בטענה ההגנה כי עניינו של הנאשם אינו נופל בגדר המקרים הנזכרים בהנחיית פרקליט המדינה, שהרי בהנחייה גופה צוין כי אין מדובר ברשימה ממצא.</w:t>
      </w:r>
    </w:p>
    <w:p w:rsidR="00C23EA9" w:rsidRDefault="00C23EA9" w:rsidP="00C23EA9">
      <w:pPr>
        <w:pStyle w:val="ad"/>
        <w:rPr>
          <w:rFonts w:ascii="David" w:hAnsi="David" w:cs="David"/>
          <w:sz w:val="26"/>
          <w:szCs w:val="26"/>
        </w:rPr>
      </w:pPr>
    </w:p>
    <w:p w:rsidR="00C23EA9" w:rsidRDefault="00C23EA9" w:rsidP="0074401E">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אנו קובעים אפוא כי שלושת מעשי הרצח שביצע הנאשם בוצעו בנסיבות חריגות בחומרתן</w:t>
      </w:r>
      <w:r w:rsidR="0074401E">
        <w:rPr>
          <w:rFonts w:ascii="David" w:hAnsi="David" w:cs="David" w:hint="cs"/>
          <w:sz w:val="26"/>
          <w:szCs w:val="26"/>
          <w:rtl/>
        </w:rPr>
        <w:t xml:space="preserve"> (משמעות קביעה זו היא כי הנאשם לא יוכל להשתחרר ממאסר מטעמים של ניהול יחסי החוץ של המדינה וביטחונה (לפי סעיף 8ב(א1) לחוק הממשלה))</w:t>
      </w:r>
      <w:r>
        <w:rPr>
          <w:rFonts w:ascii="David" w:hAnsi="David" w:cs="David"/>
          <w:sz w:val="26"/>
          <w:szCs w:val="26"/>
          <w:rtl/>
        </w:rPr>
        <w:t>.</w:t>
      </w:r>
    </w:p>
    <w:p w:rsidR="00C23EA9" w:rsidRDefault="00C23EA9" w:rsidP="00C23EA9">
      <w:pPr>
        <w:pStyle w:val="ad"/>
        <w:rPr>
          <w:rFonts w:ascii="David" w:hAnsi="David" w:cs="David"/>
          <w:sz w:val="26"/>
          <w:szCs w:val="26"/>
        </w:rPr>
      </w:pPr>
    </w:p>
    <w:p w:rsidR="00C23EA9" w:rsidRDefault="00C23EA9" w:rsidP="00C23EA9">
      <w:pPr>
        <w:pStyle w:val="ad"/>
        <w:spacing w:line="360" w:lineRule="auto"/>
        <w:ind w:left="0"/>
        <w:jc w:val="both"/>
        <w:rPr>
          <w:rFonts w:ascii="David" w:hAnsi="David" w:cs="David"/>
          <w:sz w:val="26"/>
          <w:szCs w:val="26"/>
          <w:u w:val="single"/>
          <w:rtl/>
        </w:rPr>
      </w:pPr>
      <w:r>
        <w:rPr>
          <w:rFonts w:ascii="David" w:hAnsi="David" w:cs="David"/>
          <w:sz w:val="26"/>
          <w:szCs w:val="26"/>
          <w:u w:val="single"/>
          <w:rtl/>
        </w:rPr>
        <w:t>מתחמי העונש ההולם והעונשים בעבירות הנוספות</w:t>
      </w:r>
    </w:p>
    <w:p w:rsidR="00C23EA9" w:rsidRDefault="00C23EA9" w:rsidP="00C23EA9">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קביעת המתחמים נדרשת לעבירות ניסיון הרצח, החבלה והפציעה ולעבירות הנוספות – שנדונו באישומים השני והרביעי. אין צורך להרחיב באשר לערכים המוגנים ולעוצמת הפגיעה בהם, כפי שפרטנו לעיל, לרבות ההשלכות שיש על החרדה הכללית והפגיעה בציבור כולו.</w:t>
      </w:r>
    </w:p>
    <w:p w:rsidR="00C23EA9" w:rsidRDefault="00C23EA9" w:rsidP="00C23EA9">
      <w:pPr>
        <w:pStyle w:val="ad"/>
        <w:spacing w:line="240" w:lineRule="auto"/>
        <w:ind w:left="84"/>
        <w:jc w:val="both"/>
        <w:rPr>
          <w:rFonts w:ascii="David" w:hAnsi="David" w:cs="David"/>
          <w:sz w:val="26"/>
          <w:szCs w:val="26"/>
        </w:rPr>
      </w:pPr>
      <w:r>
        <w:rPr>
          <w:rFonts w:ascii="David" w:hAnsi="David" w:cs="David"/>
          <w:sz w:val="26"/>
          <w:szCs w:val="26"/>
          <w:rtl/>
        </w:rPr>
        <w:lastRenderedPageBreak/>
        <w:t xml:space="preserve"> </w:t>
      </w:r>
    </w:p>
    <w:p w:rsidR="00C23EA9" w:rsidRDefault="00C23EA9" w:rsidP="00C23EA9">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מעשיו של הנאשם בוצעו ממניע של טרור, ומשכך מדובר בעבירות על חוק המאבק בטרור, שיש בהן כדי להביא להחמרה בענישה בשל עיקרון הגמול (ע"פ 6894/22 </w:t>
      </w:r>
      <w:r>
        <w:rPr>
          <w:rFonts w:ascii="David" w:hAnsi="David" w:cs="David"/>
          <w:b/>
          <w:bCs/>
          <w:sz w:val="26"/>
          <w:szCs w:val="26"/>
          <w:rtl/>
        </w:rPr>
        <w:t>אסכאפי נ' מדינת ישראל</w:t>
      </w:r>
      <w:r>
        <w:rPr>
          <w:rFonts w:ascii="David" w:hAnsi="David" w:cs="David"/>
          <w:sz w:val="26"/>
          <w:szCs w:val="26"/>
          <w:rtl/>
        </w:rPr>
        <w:t>, פסקה 10 (15.8.2023)). חומרה נוספת נובעת מהסתננות הנאשם לישראל, מספר פעמים במטרה לפגוע ולרצוח יהודים (ע"פ 7716/14 </w:t>
      </w:r>
      <w:r>
        <w:rPr>
          <w:rFonts w:ascii="David" w:hAnsi="David" w:cs="David"/>
          <w:b/>
          <w:bCs/>
          <w:sz w:val="26"/>
          <w:szCs w:val="26"/>
          <w:rtl/>
        </w:rPr>
        <w:t xml:space="preserve"> אבו סעיפאן נ' מדינת ישראל</w:t>
      </w:r>
      <w:r>
        <w:rPr>
          <w:rFonts w:ascii="David" w:hAnsi="David" w:cs="David"/>
          <w:sz w:val="26"/>
          <w:szCs w:val="26"/>
          <w:rtl/>
        </w:rPr>
        <w:t>, פסקה 11 (27.4.2015)).</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בחינת מדיניות הענישה מלמדת על מנעד רחב של עונשים שהוטלו על מי שביצעו עבירות של מעשה טרור של ניסיון רצח, שמהן ניתן ללמוד על מתחם העונש ההולם:</w:t>
      </w:r>
    </w:p>
    <w:p w:rsidR="00C23EA9" w:rsidRDefault="00C23EA9" w:rsidP="00C23EA9">
      <w:pPr>
        <w:pStyle w:val="ad"/>
        <w:rPr>
          <w:rFonts w:ascii="David" w:hAnsi="David" w:cs="David"/>
          <w:sz w:val="26"/>
          <w:szCs w:val="26"/>
        </w:rPr>
      </w:pPr>
    </w:p>
    <w:p w:rsidR="00C23EA9" w:rsidRDefault="00C23EA9" w:rsidP="00C23EA9">
      <w:pPr>
        <w:pStyle w:val="ad"/>
        <w:numPr>
          <w:ilvl w:val="0"/>
          <w:numId w:val="3"/>
        </w:numPr>
        <w:spacing w:line="360" w:lineRule="auto"/>
        <w:ind w:left="1080"/>
        <w:jc w:val="both"/>
        <w:rPr>
          <w:rFonts w:ascii="David" w:hAnsi="David" w:cs="David"/>
          <w:sz w:val="26"/>
          <w:szCs w:val="26"/>
          <w:rtl/>
        </w:rPr>
      </w:pPr>
      <w:r>
        <w:rPr>
          <w:rFonts w:ascii="David" w:hAnsi="David" w:cs="David"/>
          <w:sz w:val="26"/>
          <w:szCs w:val="26"/>
          <w:rtl/>
        </w:rPr>
        <w:t>ע"פ 5937/22 </w:t>
      </w:r>
      <w:r>
        <w:rPr>
          <w:rFonts w:ascii="David" w:hAnsi="David" w:cs="David"/>
          <w:b/>
          <w:bCs/>
          <w:sz w:val="26"/>
          <w:szCs w:val="26"/>
          <w:rtl/>
        </w:rPr>
        <w:t>פלוני נ' מדינת ישראל</w:t>
      </w:r>
      <w:r>
        <w:rPr>
          <w:rFonts w:ascii="David" w:hAnsi="David" w:cs="David"/>
          <w:sz w:val="26"/>
          <w:szCs w:val="26"/>
          <w:rtl/>
        </w:rPr>
        <w:t> (28.9.2023) – נדחה ערעורו של מערער אשר הורשע בביצוע מעשה טרור של ניסיון רצח. המערער פצע בדקירות סכין נערה יהודייה בת 18 בתחנת אוטובוס בעפולה. על גופה של הנפגעת נמצאו תשעה פצעי דקירה באזור בית החזה, הגב והצוואר – וכל זאת בשל היותה יהודייה. המתחם שנקבע הועמד על 26-20 שנות מאסר והעונש שהוטל היה 23 שנות מאסר בפועל, לצד עונשים נלווים.</w:t>
      </w:r>
    </w:p>
    <w:p w:rsidR="00C23EA9" w:rsidRDefault="00C23EA9" w:rsidP="00C23EA9">
      <w:pPr>
        <w:pStyle w:val="ad"/>
        <w:spacing w:line="360" w:lineRule="auto"/>
        <w:ind w:left="1080"/>
        <w:jc w:val="both"/>
        <w:rPr>
          <w:rFonts w:ascii="David" w:hAnsi="David" w:cs="David"/>
          <w:sz w:val="26"/>
          <w:szCs w:val="26"/>
        </w:rPr>
      </w:pPr>
    </w:p>
    <w:p w:rsidR="00C23EA9" w:rsidRDefault="00C23EA9" w:rsidP="00C23EA9">
      <w:pPr>
        <w:pStyle w:val="ad"/>
        <w:numPr>
          <w:ilvl w:val="0"/>
          <w:numId w:val="3"/>
        </w:numPr>
        <w:spacing w:line="360" w:lineRule="auto"/>
        <w:ind w:left="1080"/>
        <w:jc w:val="both"/>
        <w:rPr>
          <w:rFonts w:ascii="David" w:hAnsi="David" w:cs="David"/>
          <w:sz w:val="26"/>
          <w:szCs w:val="26"/>
        </w:rPr>
      </w:pPr>
      <w:r>
        <w:rPr>
          <w:rFonts w:ascii="David" w:hAnsi="David" w:cs="David"/>
          <w:sz w:val="26"/>
          <w:szCs w:val="26"/>
          <w:rtl/>
        </w:rPr>
        <w:lastRenderedPageBreak/>
        <w:t>ע"פ 7193/22 </w:t>
      </w:r>
      <w:r>
        <w:rPr>
          <w:rFonts w:ascii="David" w:hAnsi="David" w:cs="David"/>
          <w:b/>
          <w:bCs/>
          <w:sz w:val="26"/>
          <w:szCs w:val="26"/>
          <w:rtl/>
        </w:rPr>
        <w:t xml:space="preserve"> עיוויווי נ' מדינת ישראל</w:t>
      </w:r>
      <w:r>
        <w:rPr>
          <w:rFonts w:ascii="David" w:hAnsi="David" w:cs="David"/>
          <w:sz w:val="26"/>
          <w:szCs w:val="26"/>
          <w:rtl/>
        </w:rPr>
        <w:t> (28.1.2024) – נדון עניינם של שניים. באשר לבגיר, שיצא מביתו במזרח ירושלים עם אדם נוסף, צייד עצמו בסכין ועשה דרכו לשער יפו. שם הם דרסו במכוון שני עוברי אורח יהודים, אשר זוהו ככאלה על-פי חזותם ולבושם (חרדי-מסורתי). המערער דלק אחר אחד הקורבנות בעודו שרוע על הכביש, וניסה לדקור אותו. המתחם שנקבע הועמד על 15 עד 22 שנות מאסר בפועל לצד ענישה נלווית, והעונש שהוטל על המערער הועמד על 16 שנות מאסר בפועל, לצד עונשים נלווים.</w:t>
      </w:r>
    </w:p>
    <w:p w:rsidR="00C23EA9" w:rsidRDefault="00C23EA9" w:rsidP="00C23EA9">
      <w:pPr>
        <w:pStyle w:val="ad"/>
        <w:rPr>
          <w:rFonts w:ascii="David" w:hAnsi="David" w:cs="David"/>
          <w:sz w:val="26"/>
          <w:szCs w:val="26"/>
        </w:rPr>
      </w:pPr>
    </w:p>
    <w:p w:rsidR="00C23EA9" w:rsidRDefault="00C23EA9" w:rsidP="00C23EA9">
      <w:pPr>
        <w:pStyle w:val="ad"/>
        <w:numPr>
          <w:ilvl w:val="0"/>
          <w:numId w:val="3"/>
        </w:numPr>
        <w:spacing w:line="360" w:lineRule="auto"/>
        <w:ind w:left="1080"/>
        <w:jc w:val="both"/>
        <w:rPr>
          <w:rFonts w:ascii="David" w:hAnsi="David" w:cs="David"/>
          <w:sz w:val="26"/>
          <w:szCs w:val="26"/>
          <w:rtl/>
        </w:rPr>
      </w:pPr>
      <w:r>
        <w:rPr>
          <w:rFonts w:ascii="David" w:hAnsi="David" w:cs="David"/>
          <w:sz w:val="26"/>
          <w:szCs w:val="26"/>
          <w:rtl/>
        </w:rPr>
        <w:t>ע"פ 9552/16</w:t>
      </w:r>
      <w:r>
        <w:rPr>
          <w:rFonts w:ascii="David" w:hAnsi="David" w:cs="David"/>
          <w:b/>
          <w:bCs/>
          <w:sz w:val="26"/>
          <w:szCs w:val="26"/>
          <w:rtl/>
        </w:rPr>
        <w:t xml:space="preserve"> קומבוז נ' מדינת ישראל</w:t>
      </w:r>
      <w:r>
        <w:rPr>
          <w:rFonts w:ascii="David" w:hAnsi="David" w:cs="David"/>
          <w:sz w:val="26"/>
          <w:szCs w:val="26"/>
          <w:rtl/>
        </w:rPr>
        <w:t xml:space="preserve"> (22.1.2018) – נדחה ערעורו של מערער אשר ארב בגשר המיתרים שבירושלים לעובר ושב, בחיפוש אחר קורבנות יהודים. משזיהה חייל בסמוך, ניסה לדקור אותו בצוואר במטרה להורגו, ובכך פצע אותו. המתחם שנקבע היה בין 12 ל- 19 שנות מאסר בפועל, והעונש שהוטל על הנאשם - 17 שנות מאסר בפועל. </w:t>
      </w:r>
    </w:p>
    <w:p w:rsidR="00C23EA9" w:rsidRDefault="00C23EA9" w:rsidP="00C23EA9">
      <w:pPr>
        <w:pStyle w:val="ad"/>
        <w:rPr>
          <w:rFonts w:ascii="David" w:hAnsi="David" w:cs="David"/>
          <w:sz w:val="26"/>
          <w:szCs w:val="26"/>
        </w:rPr>
      </w:pPr>
    </w:p>
    <w:p w:rsidR="00C23EA9" w:rsidRDefault="00C23EA9" w:rsidP="00C23EA9">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כאשר אנו נותנים ביטוי לנסיבות המחמירות שליוו את ביצוע העבירות, נראה כי יש מקום לקביעת המתחמים הבאים: בגין האירוע נושא האישום השני: עונש מאסר שנע בין 16 ל-20 שנות מאסר לצד עונשים נלווים; ובגין האירוע נושא אישום הרביעי: עונש מאסר שנע בין 18 ל-22 שנות מאסר לצד עונשים נלווים.</w:t>
      </w:r>
    </w:p>
    <w:p w:rsidR="00C23EA9" w:rsidRDefault="00C23EA9" w:rsidP="00C23EA9">
      <w:pPr>
        <w:pStyle w:val="ad"/>
        <w:spacing w:line="240" w:lineRule="auto"/>
        <w:ind w:left="84"/>
        <w:jc w:val="both"/>
        <w:rPr>
          <w:rFonts w:ascii="David" w:hAnsi="David" w:cs="David"/>
          <w:sz w:val="26"/>
          <w:szCs w:val="26"/>
        </w:rPr>
      </w:pPr>
    </w:p>
    <w:p w:rsidR="00902F2C" w:rsidRDefault="00C23EA9" w:rsidP="00902F2C">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lastRenderedPageBreak/>
        <w:t>באשר למיקום עונשו של הנאשם בתוך המתחמים, לא נמצא ולו שיקול אחד שיכול להצדיק את מיקומו עונשו של הנאשם שלא ברף העליון של המתחמים. זאת בהינתן הנסיבות שפורטו לעיל ומסוכנותו הרבה</w:t>
      </w:r>
      <w:r w:rsidR="00902F2C">
        <w:rPr>
          <w:rFonts w:ascii="David" w:hAnsi="David" w:cs="David" w:hint="cs"/>
          <w:sz w:val="26"/>
          <w:szCs w:val="26"/>
          <w:rtl/>
        </w:rPr>
        <w:t xml:space="preserve">. </w:t>
      </w:r>
      <w:r w:rsidR="00902F2C" w:rsidRPr="00902F2C">
        <w:rPr>
          <w:rFonts w:ascii="David" w:hAnsi="David" w:cs="David"/>
          <w:sz w:val="26"/>
          <w:szCs w:val="26"/>
          <w:rtl/>
        </w:rPr>
        <w:t>המסוכנות הנשקפת מהנאשם גבוהה. במשך 11 שנים היה חבר באגון הטרור ד</w:t>
      </w:r>
      <w:r w:rsidR="00902F2C">
        <w:rPr>
          <w:rFonts w:ascii="David" w:hAnsi="David" w:cs="David" w:hint="cs"/>
          <w:sz w:val="26"/>
          <w:szCs w:val="26"/>
          <w:rtl/>
        </w:rPr>
        <w:t>אע</w:t>
      </w:r>
      <w:r w:rsidR="00902F2C" w:rsidRPr="00902F2C">
        <w:rPr>
          <w:rFonts w:ascii="David" w:hAnsi="David" w:cs="David"/>
          <w:sz w:val="26"/>
          <w:szCs w:val="26"/>
          <w:rtl/>
        </w:rPr>
        <w:t>ש, ובמהלכן באופן בלתי נלאה שב וביצע את המעשים הרצחניים המפורטים לעיל מתוך רצון לממש את תפיסת עולמו המעוותת בדבר שחיטת יהודים רבים ככל שיעלה בידו. גם לאחר הפוגה בת כשלוש שנים שנכפתה עליו בשל היותו נתון במעצר מנהלי, שלושה ימים לאחר שחרורו ביצע את מעשה הרצח האחרון שבגינו נעצר והובא למשפט.</w:t>
      </w:r>
      <w:r>
        <w:rPr>
          <w:rFonts w:ascii="David" w:hAnsi="David" w:cs="David"/>
          <w:sz w:val="26"/>
          <w:szCs w:val="26"/>
          <w:rtl/>
        </w:rPr>
        <w:t xml:space="preserve"> </w:t>
      </w:r>
    </w:p>
    <w:p w:rsidR="00902F2C" w:rsidRPr="00902F2C" w:rsidRDefault="00902F2C" w:rsidP="00902F2C">
      <w:pPr>
        <w:pStyle w:val="ad"/>
        <w:rPr>
          <w:rFonts w:ascii="David" w:hAnsi="David" w:cs="David"/>
          <w:sz w:val="26"/>
          <w:szCs w:val="26"/>
          <w:rtl/>
        </w:rPr>
      </w:pPr>
    </w:p>
    <w:p w:rsidR="00C23EA9" w:rsidRDefault="00902F2C" w:rsidP="00902F2C">
      <w:pPr>
        <w:pStyle w:val="ad"/>
        <w:numPr>
          <w:ilvl w:val="0"/>
          <w:numId w:val="1"/>
        </w:numPr>
        <w:spacing w:line="360" w:lineRule="auto"/>
        <w:ind w:left="0" w:firstLine="0"/>
        <w:jc w:val="both"/>
        <w:rPr>
          <w:rFonts w:ascii="David" w:hAnsi="David" w:cs="David"/>
          <w:sz w:val="26"/>
          <w:szCs w:val="26"/>
        </w:rPr>
      </w:pPr>
      <w:r>
        <w:rPr>
          <w:rFonts w:ascii="David" w:hAnsi="David" w:cs="David" w:hint="cs"/>
          <w:sz w:val="26"/>
          <w:szCs w:val="26"/>
          <w:rtl/>
        </w:rPr>
        <w:t>ה</w:t>
      </w:r>
      <w:r w:rsidR="00C23EA9">
        <w:rPr>
          <w:rFonts w:ascii="David" w:hAnsi="David" w:cs="David"/>
          <w:sz w:val="26"/>
          <w:szCs w:val="26"/>
          <w:rtl/>
        </w:rPr>
        <w:t>עונש שיוטל על הנאשם בגין העבירות שבביצוען הורשע באישום השני יעמוד</w:t>
      </w:r>
      <w:r>
        <w:rPr>
          <w:rFonts w:ascii="David" w:hAnsi="David" w:cs="David" w:hint="cs"/>
          <w:sz w:val="26"/>
          <w:szCs w:val="26"/>
          <w:rtl/>
        </w:rPr>
        <w:t xml:space="preserve"> אפוא</w:t>
      </w:r>
      <w:r w:rsidR="00C23EA9">
        <w:rPr>
          <w:rFonts w:ascii="David" w:hAnsi="David" w:cs="David"/>
          <w:sz w:val="26"/>
          <w:szCs w:val="26"/>
          <w:rtl/>
        </w:rPr>
        <w:t xml:space="preserve"> על 19 שנות מאסר; והעונש שיוטל עליו בגין העבירות שביצוען הורשע באישום הרביעי (למעט עבירת הרצח) יעמוד על 21 שנות מאסר. </w:t>
      </w:r>
    </w:p>
    <w:p w:rsidR="00C23EA9" w:rsidRPr="00902F2C" w:rsidRDefault="00C23EA9" w:rsidP="00902F2C">
      <w:pPr>
        <w:pStyle w:val="ad"/>
        <w:spacing w:line="240" w:lineRule="auto"/>
        <w:ind w:left="0"/>
        <w:jc w:val="both"/>
        <w:rPr>
          <w:rFonts w:ascii="David" w:hAnsi="David" w:cs="David"/>
          <w:sz w:val="26"/>
          <w:szCs w:val="26"/>
          <w:u w:val="single"/>
          <w:rtl/>
        </w:rPr>
      </w:pPr>
    </w:p>
    <w:p w:rsidR="00C23EA9" w:rsidRDefault="00C23EA9" w:rsidP="00C23EA9">
      <w:pPr>
        <w:pStyle w:val="ad"/>
        <w:spacing w:line="360" w:lineRule="auto"/>
        <w:ind w:left="0"/>
        <w:jc w:val="both"/>
        <w:rPr>
          <w:rFonts w:ascii="David" w:hAnsi="David" w:cs="David"/>
          <w:b/>
          <w:bCs/>
          <w:sz w:val="26"/>
          <w:szCs w:val="26"/>
          <w:u w:val="single"/>
          <w:rtl/>
        </w:rPr>
      </w:pPr>
      <w:r>
        <w:rPr>
          <w:rFonts w:ascii="David" w:hAnsi="David" w:cs="David"/>
          <w:b/>
          <w:bCs/>
          <w:sz w:val="26"/>
          <w:szCs w:val="26"/>
          <w:u w:val="single"/>
          <w:rtl/>
        </w:rPr>
        <w:t>סיכום</w:t>
      </w: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על יסוד האמור, אני מציע לחבריי כי נטיל על הנאשם את העונשים הבאים:</w:t>
      </w:r>
    </w:p>
    <w:p w:rsidR="00C23EA9" w:rsidRDefault="00C23EA9" w:rsidP="00902F2C">
      <w:pPr>
        <w:pStyle w:val="ad"/>
        <w:spacing w:line="240" w:lineRule="auto"/>
        <w:ind w:left="0"/>
        <w:jc w:val="both"/>
        <w:rPr>
          <w:rFonts w:ascii="David" w:hAnsi="David" w:cs="David"/>
          <w:sz w:val="26"/>
          <w:szCs w:val="26"/>
        </w:rPr>
      </w:pPr>
    </w:p>
    <w:p w:rsidR="00C23EA9" w:rsidRDefault="00C23EA9" w:rsidP="00C23EA9">
      <w:pPr>
        <w:pStyle w:val="ad"/>
        <w:numPr>
          <w:ilvl w:val="0"/>
          <w:numId w:val="4"/>
        </w:numPr>
        <w:spacing w:line="360" w:lineRule="auto"/>
        <w:jc w:val="both"/>
        <w:rPr>
          <w:rFonts w:ascii="David" w:hAnsi="David" w:cs="David"/>
          <w:sz w:val="26"/>
          <w:szCs w:val="26"/>
          <w:rtl/>
        </w:rPr>
      </w:pPr>
      <w:r>
        <w:rPr>
          <w:rFonts w:ascii="David" w:hAnsi="David" w:cs="David"/>
          <w:sz w:val="26"/>
          <w:szCs w:val="26"/>
          <w:u w:val="single"/>
          <w:rtl/>
        </w:rPr>
        <w:t>שלושה מאסרי עולם וכן-40 שנות מאסר</w:t>
      </w:r>
      <w:r>
        <w:rPr>
          <w:rFonts w:ascii="David" w:hAnsi="David" w:cs="David"/>
          <w:sz w:val="26"/>
          <w:szCs w:val="26"/>
          <w:rtl/>
        </w:rPr>
        <w:t xml:space="preserve"> שירוצו כולם במצטבר. תקופות המאסר יימנו החל מיום מעצרו 21.3.2022. </w:t>
      </w:r>
    </w:p>
    <w:p w:rsidR="00C23EA9" w:rsidRDefault="00C23EA9" w:rsidP="00C23EA9">
      <w:pPr>
        <w:pStyle w:val="ad"/>
        <w:spacing w:line="240" w:lineRule="auto"/>
        <w:ind w:left="1080"/>
        <w:jc w:val="both"/>
        <w:rPr>
          <w:rFonts w:ascii="David" w:hAnsi="David" w:cs="David"/>
          <w:sz w:val="26"/>
          <w:szCs w:val="26"/>
          <w:highlight w:val="yellow"/>
        </w:rPr>
      </w:pPr>
    </w:p>
    <w:p w:rsidR="00C23EA9" w:rsidRDefault="00C23EA9" w:rsidP="00C23EA9">
      <w:pPr>
        <w:pStyle w:val="ad"/>
        <w:numPr>
          <w:ilvl w:val="0"/>
          <w:numId w:val="4"/>
        </w:numPr>
        <w:spacing w:line="360" w:lineRule="auto"/>
        <w:jc w:val="both"/>
        <w:rPr>
          <w:rFonts w:ascii="David" w:hAnsi="David" w:cs="David"/>
          <w:sz w:val="26"/>
          <w:szCs w:val="26"/>
        </w:rPr>
      </w:pPr>
      <w:r>
        <w:rPr>
          <w:rFonts w:ascii="David" w:hAnsi="David" w:cs="David"/>
          <w:sz w:val="26"/>
          <w:szCs w:val="26"/>
          <w:u w:val="single"/>
          <w:rtl/>
        </w:rPr>
        <w:t>פיצוי לנפגעי העבירה</w:t>
      </w:r>
      <w:r>
        <w:rPr>
          <w:rFonts w:ascii="David" w:hAnsi="David" w:cs="David"/>
          <w:sz w:val="26"/>
          <w:szCs w:val="26"/>
          <w:rtl/>
        </w:rPr>
        <w:t xml:space="preserve"> לפי הפירוט שלהלן:</w:t>
      </w:r>
    </w:p>
    <w:p w:rsidR="00C23EA9" w:rsidRDefault="00C23EA9" w:rsidP="003C7BF5">
      <w:pPr>
        <w:pStyle w:val="ad"/>
        <w:spacing w:line="240" w:lineRule="auto"/>
        <w:rPr>
          <w:rFonts w:ascii="David" w:hAnsi="David" w:cs="David"/>
          <w:sz w:val="26"/>
          <w:szCs w:val="26"/>
        </w:rPr>
      </w:pPr>
    </w:p>
    <w:p w:rsidR="00C23EA9" w:rsidRDefault="00C23EA9" w:rsidP="00C23EA9">
      <w:pPr>
        <w:pStyle w:val="ad"/>
        <w:spacing w:line="360" w:lineRule="auto"/>
        <w:ind w:left="1080"/>
        <w:jc w:val="both"/>
        <w:rPr>
          <w:rFonts w:ascii="David" w:hAnsi="David" w:cs="David"/>
          <w:sz w:val="26"/>
          <w:szCs w:val="26"/>
          <w:rtl/>
        </w:rPr>
      </w:pPr>
      <w:r>
        <w:rPr>
          <w:rFonts w:ascii="David" w:hAnsi="David" w:cs="David"/>
          <w:sz w:val="26"/>
          <w:szCs w:val="26"/>
          <w:rtl/>
        </w:rPr>
        <w:t xml:space="preserve">לנפגעת העבירה באישום השני – ה' ב' – סכום של 150,000 ₪; </w:t>
      </w:r>
    </w:p>
    <w:p w:rsidR="00C23EA9" w:rsidRDefault="00C23EA9" w:rsidP="00902F2C">
      <w:pPr>
        <w:pStyle w:val="ad"/>
        <w:spacing w:line="240" w:lineRule="auto"/>
        <w:ind w:left="1080"/>
        <w:jc w:val="both"/>
        <w:rPr>
          <w:rFonts w:ascii="David" w:hAnsi="David" w:cs="David"/>
          <w:sz w:val="26"/>
          <w:szCs w:val="26"/>
          <w:rtl/>
        </w:rPr>
      </w:pPr>
    </w:p>
    <w:p w:rsidR="00C23EA9" w:rsidRDefault="00C23EA9" w:rsidP="00C23EA9">
      <w:pPr>
        <w:pStyle w:val="ad"/>
        <w:spacing w:line="360" w:lineRule="auto"/>
        <w:ind w:left="1080"/>
        <w:jc w:val="both"/>
        <w:rPr>
          <w:rFonts w:ascii="David" w:hAnsi="David" w:cs="David"/>
          <w:sz w:val="26"/>
          <w:szCs w:val="26"/>
          <w:rtl/>
        </w:rPr>
      </w:pPr>
      <w:r>
        <w:rPr>
          <w:rFonts w:ascii="David" w:hAnsi="David" w:cs="David"/>
          <w:sz w:val="26"/>
          <w:szCs w:val="26"/>
          <w:rtl/>
        </w:rPr>
        <w:t>לנפגעי העבירה באישום השלישי – פיצוי מקסימלי בסכום של 258,000 ₪</w:t>
      </w:r>
      <w:r>
        <w:rPr>
          <w:rFonts w:ascii="David" w:hAnsi="David" w:cs="David"/>
          <w:sz w:val="26"/>
          <w:szCs w:val="26"/>
          <w:rtl/>
        </w:rPr>
        <w:tab/>
        <w:t>בגין רצח תמר כדורי ז"ל וסכום של 258,000 ₪</w:t>
      </w:r>
      <w:r>
        <w:rPr>
          <w:rFonts w:ascii="David" w:hAnsi="David" w:cs="David"/>
          <w:sz w:val="26"/>
          <w:szCs w:val="26"/>
          <w:rtl/>
        </w:rPr>
        <w:tab/>
        <w:t>בגין רצח יהודה כדורי ז"ל. סכומים אלה ישולמו לילדיהם בחלקים שווים (בהתאם לפירוט שתעביר המאשימה);</w:t>
      </w:r>
    </w:p>
    <w:p w:rsidR="00C23EA9" w:rsidRDefault="00C23EA9" w:rsidP="003C7BF5">
      <w:pPr>
        <w:pStyle w:val="ad"/>
        <w:spacing w:line="240" w:lineRule="auto"/>
        <w:ind w:left="1080"/>
        <w:jc w:val="both"/>
        <w:rPr>
          <w:rFonts w:ascii="David" w:hAnsi="David" w:cs="David"/>
          <w:sz w:val="26"/>
          <w:szCs w:val="26"/>
          <w:rtl/>
        </w:rPr>
      </w:pPr>
    </w:p>
    <w:p w:rsidR="00C23EA9" w:rsidRDefault="00C23EA9" w:rsidP="00C23EA9">
      <w:pPr>
        <w:pStyle w:val="ad"/>
        <w:spacing w:line="360" w:lineRule="auto"/>
        <w:ind w:left="1080"/>
        <w:jc w:val="both"/>
        <w:rPr>
          <w:rFonts w:ascii="David" w:hAnsi="David" w:cs="David"/>
          <w:sz w:val="26"/>
          <w:szCs w:val="26"/>
          <w:rtl/>
        </w:rPr>
      </w:pPr>
      <w:r>
        <w:rPr>
          <w:rFonts w:ascii="David" w:hAnsi="David" w:cs="David"/>
          <w:sz w:val="26"/>
          <w:szCs w:val="26"/>
          <w:rtl/>
        </w:rPr>
        <w:t>לנפגע העבירה באישום הרביעי – סכום של 175,000 ₪ לאיגור אונוי (לא נמסרו פרטים לגבי המנוח באותו אישום).</w:t>
      </w:r>
    </w:p>
    <w:p w:rsidR="00C23EA9" w:rsidRDefault="00C23EA9" w:rsidP="003C7BF5">
      <w:pPr>
        <w:pStyle w:val="ad"/>
        <w:spacing w:line="240" w:lineRule="auto"/>
        <w:ind w:left="0"/>
        <w:jc w:val="both"/>
        <w:rPr>
          <w:rFonts w:ascii="David" w:hAnsi="David" w:cs="David"/>
          <w:sz w:val="26"/>
          <w:szCs w:val="26"/>
          <w:rtl/>
        </w:rPr>
      </w:pPr>
    </w:p>
    <w:p w:rsidR="00C23EA9" w:rsidRDefault="003C7BF5" w:rsidP="00C23EA9">
      <w:pPr>
        <w:pStyle w:val="ad"/>
        <w:numPr>
          <w:ilvl w:val="0"/>
          <w:numId w:val="1"/>
        </w:numPr>
        <w:spacing w:line="360" w:lineRule="auto"/>
        <w:ind w:left="0" w:firstLine="0"/>
        <w:jc w:val="both"/>
        <w:rPr>
          <w:rFonts w:ascii="David" w:hAnsi="David" w:cs="David"/>
          <w:sz w:val="26"/>
          <w:szCs w:val="26"/>
        </w:rPr>
      </w:pPr>
      <w:r>
        <w:rPr>
          <w:rFonts w:ascii="David" w:hAnsi="David" w:cs="David" w:hint="cs"/>
          <w:sz w:val="26"/>
          <w:szCs w:val="26"/>
          <w:rtl/>
        </w:rPr>
        <w:t xml:space="preserve">נקבע </w:t>
      </w:r>
      <w:r w:rsidR="00C23EA9">
        <w:rPr>
          <w:rFonts w:ascii="David" w:hAnsi="David" w:cs="David"/>
          <w:sz w:val="26"/>
          <w:szCs w:val="26"/>
          <w:rtl/>
        </w:rPr>
        <w:t>כי מעשי הרצח שביצע הנאשם הם מעשי רצח חריגים בחומרתם, על כל הנובע מכך.</w:t>
      </w:r>
    </w:p>
    <w:p w:rsidR="00902F2C" w:rsidRDefault="00902F2C">
      <w:pPr>
        <w:bidi w:val="0"/>
        <w:rPr>
          <w:rFonts w:ascii="David" w:eastAsiaTheme="minorHAnsi" w:hAnsi="David"/>
          <w:noProof w:val="0"/>
          <w:sz w:val="26"/>
          <w:szCs w:val="26"/>
        </w:rPr>
      </w:pPr>
      <w:r>
        <w:rPr>
          <w:rFonts w:ascii="David" w:hAnsi="David"/>
          <w:sz w:val="26"/>
          <w:szCs w:val="26"/>
          <w:rtl/>
        </w:rPr>
        <w:br w:type="page"/>
      </w:r>
    </w:p>
    <w:p w:rsidR="00C23EA9" w:rsidRDefault="00C23EA9" w:rsidP="00C23EA9">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lastRenderedPageBreak/>
        <w:t>המוצגים שנתפסו באירוע נושא האישום הרביעי יחולטו ויושמדו.</w:t>
      </w:r>
    </w:p>
    <w:tbl>
      <w:tblPr>
        <w:tblStyle w:val="a9"/>
        <w:bidiVisual/>
        <w:tblW w:w="0" w:type="auto"/>
        <w:tblInd w:w="5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3C7BF5" w:rsidTr="003C7BF5">
        <w:trPr>
          <w:trHeight w:val="992"/>
        </w:trPr>
        <w:tc>
          <w:tcPr>
            <w:tcW w:w="2962" w:type="dxa"/>
            <w:tcBorders>
              <w:top w:val="nil"/>
              <w:left w:val="nil"/>
              <w:bottom w:val="single" w:sz="4" w:space="0" w:color="auto"/>
              <w:right w:val="nil"/>
            </w:tcBorders>
            <w:vAlign w:val="center"/>
          </w:tcPr>
          <w:p w:rsidR="003C7BF5" w:rsidRPr="0076695E" w:rsidRDefault="003C7BF5">
            <w:pPr>
              <w:jc w:val="center"/>
              <w:rPr>
                <w:rFonts w:ascii="Courier New" w:hAnsi="Courier New"/>
                <w:b/>
                <w:bCs/>
              </w:rPr>
            </w:pPr>
            <w:r>
              <w:rPr>
                <w:rFonts w:ascii="Courier New" w:hAnsi="Courier New"/>
                <w:b/>
                <w:bCs/>
              </w:rPr>
              <w:drawing>
                <wp:inline distT="0" distB="0" distL="0" distR="0">
                  <wp:extent cx="981075" cy="752475"/>
                  <wp:effectExtent l="0" t="0" r="9525" b="9525"/>
                  <wp:docPr id="1" name="Picture 1"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22138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r>
      <w:tr w:rsidR="003C7BF5" w:rsidTr="003C7BF5">
        <w:tc>
          <w:tcPr>
            <w:tcW w:w="2962" w:type="dxa"/>
            <w:tcBorders>
              <w:top w:val="single" w:sz="4" w:space="0" w:color="auto"/>
              <w:left w:val="nil"/>
              <w:bottom w:val="nil"/>
              <w:right w:val="nil"/>
            </w:tcBorders>
            <w:vAlign w:val="bottom"/>
          </w:tcPr>
          <w:p w:rsidR="003C7BF5" w:rsidRDefault="003C7BF5" w:rsidP="003C7BF5">
            <w:pPr>
              <w:spacing w:line="276" w:lineRule="auto"/>
              <w:jc w:val="center"/>
              <w:rPr>
                <w:rFonts w:ascii="Courier New" w:hAnsi="Courier New"/>
                <w:b/>
                <w:bCs/>
              </w:rPr>
            </w:pPr>
            <w:r>
              <w:rPr>
                <w:rFonts w:ascii="Courier New" w:hAnsi="Courier New" w:hint="cs"/>
                <w:b/>
                <w:bCs/>
                <w:rtl/>
              </w:rPr>
              <w:t>ארנון דראל,  סגן נשיא</w:t>
            </w:r>
          </w:p>
        </w:tc>
      </w:tr>
    </w:tbl>
    <w:p w:rsidR="003C7BF5" w:rsidRDefault="003C7BF5">
      <w:pPr>
        <w:rPr>
          <w:rtl/>
        </w:rPr>
      </w:pPr>
    </w:p>
    <w:p w:rsidR="00B87194" w:rsidRDefault="00B87194" w:rsidP="00902F2C">
      <w:pPr>
        <w:bidi w:val="0"/>
        <w:spacing w:line="360" w:lineRule="auto"/>
        <w:jc w:val="right"/>
        <w:rPr>
          <w:b/>
          <w:bCs/>
          <w:sz w:val="26"/>
          <w:szCs w:val="26"/>
          <w:u w:val="single"/>
          <w:rtl/>
        </w:rPr>
      </w:pPr>
    </w:p>
    <w:p w:rsidR="00B87194" w:rsidRDefault="00B87194" w:rsidP="00B87194">
      <w:pPr>
        <w:bidi w:val="0"/>
        <w:spacing w:line="360" w:lineRule="auto"/>
        <w:jc w:val="right"/>
        <w:rPr>
          <w:b/>
          <w:bCs/>
          <w:sz w:val="26"/>
          <w:szCs w:val="26"/>
          <w:u w:val="single"/>
          <w:rtl/>
        </w:rPr>
      </w:pPr>
    </w:p>
    <w:p w:rsidR="003C7BF5" w:rsidRDefault="00902F2C" w:rsidP="00B87194">
      <w:pPr>
        <w:bidi w:val="0"/>
        <w:spacing w:line="360" w:lineRule="auto"/>
        <w:jc w:val="right"/>
        <w:rPr>
          <w:b/>
          <w:bCs/>
          <w:sz w:val="26"/>
          <w:szCs w:val="26"/>
          <w:u w:val="single"/>
        </w:rPr>
      </w:pPr>
      <w:r w:rsidRPr="00902F2C">
        <w:rPr>
          <w:rFonts w:hint="cs"/>
          <w:b/>
          <w:bCs/>
          <w:sz w:val="26"/>
          <w:szCs w:val="26"/>
          <w:u w:val="single"/>
          <w:rtl/>
        </w:rPr>
        <w:t>ה</w:t>
      </w:r>
      <w:r w:rsidR="003C7BF5" w:rsidRPr="00902F2C">
        <w:rPr>
          <w:rFonts w:hint="cs"/>
          <w:b/>
          <w:bCs/>
          <w:sz w:val="26"/>
          <w:szCs w:val="26"/>
          <w:u w:val="single"/>
          <w:rtl/>
        </w:rPr>
        <w:t>שופט א' אברבנאל:</w:t>
      </w:r>
    </w:p>
    <w:p w:rsidR="003C7BF5" w:rsidRPr="00902F2C" w:rsidRDefault="003C7BF5" w:rsidP="003C7BF5">
      <w:pPr>
        <w:spacing w:line="360" w:lineRule="auto"/>
        <w:rPr>
          <w:sz w:val="26"/>
          <w:szCs w:val="26"/>
          <w:rtl/>
        </w:rPr>
      </w:pPr>
      <w:r w:rsidRPr="00902F2C">
        <w:rPr>
          <w:rFonts w:hint="cs"/>
          <w:sz w:val="26"/>
          <w:szCs w:val="26"/>
          <w:rtl/>
        </w:rPr>
        <w:t>אני מסכים</w:t>
      </w:r>
    </w:p>
    <w:tbl>
      <w:tblPr>
        <w:tblStyle w:val="a9"/>
        <w:bidiVisual/>
        <w:tblW w:w="0" w:type="auto"/>
        <w:tblInd w:w="5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94"/>
      </w:tblGrid>
      <w:tr w:rsidR="003C7BF5" w:rsidRPr="00902F2C" w:rsidTr="003C7BF5">
        <w:tc>
          <w:tcPr>
            <w:tcW w:w="2294" w:type="dxa"/>
            <w:tcBorders>
              <w:bottom w:val="single" w:sz="4" w:space="0" w:color="auto"/>
            </w:tcBorders>
          </w:tcPr>
          <w:p w:rsidR="003C7BF5" w:rsidRPr="00902F2C" w:rsidRDefault="003C7BF5" w:rsidP="00BE2AE4">
            <w:pPr>
              <w:spacing w:before="40" w:after="40"/>
              <w:jc w:val="center"/>
              <w:rPr>
                <w:sz w:val="26"/>
                <w:szCs w:val="26"/>
                <w:rtl/>
              </w:rPr>
            </w:pPr>
            <w:r w:rsidRPr="00902F2C">
              <w:rPr>
                <w:sz w:val="26"/>
                <w:szCs w:val="26"/>
              </w:rPr>
              <w:drawing>
                <wp:inline distT="0" distB="0" distL="0" distR="0">
                  <wp:extent cx="1319530" cy="457200"/>
                  <wp:effectExtent l="0" t="0" r="0" b="0"/>
                  <wp:docPr id="2" name="תמונה 2" descr="C:\Users\ShimiG\AppData\Local\Microsoft\Windows\Temporary Internet Files\Content.Word\0564238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6423866.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r>
      <w:tr w:rsidR="003C7BF5" w:rsidTr="003C7BF5">
        <w:tc>
          <w:tcPr>
            <w:tcW w:w="2294" w:type="dxa"/>
            <w:tcBorders>
              <w:top w:val="single" w:sz="4" w:space="0" w:color="auto"/>
            </w:tcBorders>
          </w:tcPr>
          <w:p w:rsidR="003C7BF5" w:rsidRPr="004B4593" w:rsidRDefault="003C7BF5" w:rsidP="00313C15">
            <w:pPr>
              <w:tabs>
                <w:tab w:val="center" w:pos="1039"/>
              </w:tabs>
              <w:spacing w:before="40" w:after="40"/>
              <w:jc w:val="center"/>
              <w:rPr>
                <w:b/>
                <w:bCs/>
                <w:rtl/>
              </w:rPr>
            </w:pPr>
            <w:r>
              <w:rPr>
                <w:rFonts w:hint="cs"/>
                <w:b/>
                <w:bCs/>
                <w:rtl/>
              </w:rPr>
              <w:t>אלי אברבנאל</w:t>
            </w:r>
            <w:r w:rsidRPr="004B4593">
              <w:rPr>
                <w:rFonts w:hint="cs"/>
                <w:b/>
                <w:bCs/>
                <w:rtl/>
              </w:rPr>
              <w:t xml:space="preserve">, </w:t>
            </w:r>
            <w:r>
              <w:rPr>
                <w:rFonts w:hint="cs"/>
                <w:b/>
                <w:bCs/>
                <w:rtl/>
              </w:rPr>
              <w:t>שופט</w:t>
            </w:r>
          </w:p>
        </w:tc>
      </w:tr>
    </w:tbl>
    <w:p w:rsidR="003C7BF5" w:rsidRPr="004B4593" w:rsidRDefault="003C7BF5"/>
    <w:p w:rsidR="003C7BF5" w:rsidRDefault="003C7BF5" w:rsidP="003C7BF5">
      <w:pPr>
        <w:spacing w:line="360" w:lineRule="auto"/>
        <w:rPr>
          <w:rtl/>
        </w:rPr>
      </w:pPr>
    </w:p>
    <w:p w:rsidR="00B87194" w:rsidRDefault="00B87194" w:rsidP="003C7BF5">
      <w:pPr>
        <w:spacing w:line="360" w:lineRule="auto"/>
        <w:rPr>
          <w:b/>
          <w:bCs/>
          <w:sz w:val="26"/>
          <w:szCs w:val="26"/>
          <w:u w:val="single"/>
          <w:rtl/>
        </w:rPr>
      </w:pPr>
    </w:p>
    <w:p w:rsidR="00B87194" w:rsidRDefault="00B87194" w:rsidP="003C7BF5">
      <w:pPr>
        <w:spacing w:line="360" w:lineRule="auto"/>
        <w:rPr>
          <w:b/>
          <w:bCs/>
          <w:sz w:val="26"/>
          <w:szCs w:val="26"/>
          <w:u w:val="single"/>
          <w:rtl/>
        </w:rPr>
      </w:pPr>
    </w:p>
    <w:p w:rsidR="003C7BF5" w:rsidRPr="00902F2C" w:rsidRDefault="003C7BF5" w:rsidP="003C7BF5">
      <w:pPr>
        <w:spacing w:line="360" w:lineRule="auto"/>
        <w:rPr>
          <w:b/>
          <w:bCs/>
          <w:sz w:val="26"/>
          <w:szCs w:val="26"/>
          <w:u w:val="single"/>
          <w:rtl/>
        </w:rPr>
      </w:pPr>
      <w:r w:rsidRPr="00902F2C">
        <w:rPr>
          <w:rFonts w:hint="cs"/>
          <w:b/>
          <w:bCs/>
          <w:sz w:val="26"/>
          <w:szCs w:val="26"/>
          <w:u w:val="single"/>
          <w:rtl/>
        </w:rPr>
        <w:t>השופטת ח' זנדברג:</w:t>
      </w:r>
    </w:p>
    <w:p w:rsidR="003C7BF5" w:rsidRPr="00902F2C" w:rsidRDefault="003C7BF5" w:rsidP="003C7BF5">
      <w:pPr>
        <w:spacing w:line="360" w:lineRule="auto"/>
        <w:rPr>
          <w:sz w:val="26"/>
          <w:szCs w:val="26"/>
        </w:rPr>
      </w:pPr>
      <w:r w:rsidRPr="00902F2C">
        <w:rPr>
          <w:rFonts w:hint="cs"/>
          <w:sz w:val="26"/>
          <w:szCs w:val="26"/>
          <w:rtl/>
        </w:rPr>
        <w:t>אני מסכימה</w:t>
      </w:r>
    </w:p>
    <w:tbl>
      <w:tblPr>
        <w:tblStyle w:val="a9"/>
        <w:bidiVisual/>
        <w:tblW w:w="2958" w:type="dxa"/>
        <w:tblInd w:w="5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8"/>
      </w:tblGrid>
      <w:tr w:rsidR="003C7BF5" w:rsidTr="003C7BF5">
        <w:tc>
          <w:tcPr>
            <w:tcW w:w="2958" w:type="dxa"/>
            <w:tcBorders>
              <w:top w:val="nil"/>
              <w:left w:val="nil"/>
              <w:bottom w:val="single" w:sz="4" w:space="0" w:color="auto"/>
              <w:right w:val="nil"/>
            </w:tcBorders>
            <w:vAlign w:val="center"/>
          </w:tcPr>
          <w:p w:rsidR="003C7BF5" w:rsidRPr="007276F3" w:rsidRDefault="003C7BF5" w:rsidP="007173B8">
            <w:pPr>
              <w:spacing w:before="40" w:after="40"/>
              <w:jc w:val="center"/>
              <w:rPr>
                <w:rFonts w:ascii="Courier New" w:hAnsi="Courier New"/>
                <w:b/>
                <w:bCs/>
                <w:rtl/>
              </w:rPr>
            </w:pPr>
            <w:r>
              <w:lastRenderedPageBreak/>
              <w:drawing>
                <wp:inline distT="0" distB="0" distL="0" distR="0">
                  <wp:extent cx="1741170" cy="636270"/>
                  <wp:effectExtent l="0" t="0" r="0" b="0"/>
                  <wp:docPr id="4" name="תמונה 4" descr="C:\Users\ShimiG\AppData\Local\Microsoft\Windows\Temporary Internet Files\Content.Word\0227873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22787378.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1170" cy="636270"/>
                          </a:xfrm>
                          <a:prstGeom prst="rect">
                            <a:avLst/>
                          </a:prstGeom>
                          <a:noFill/>
                          <a:ln>
                            <a:noFill/>
                          </a:ln>
                        </pic:spPr>
                      </pic:pic>
                    </a:graphicData>
                  </a:graphic>
                </wp:inline>
              </w:drawing>
            </w:r>
          </w:p>
        </w:tc>
      </w:tr>
      <w:tr w:rsidR="003C7BF5" w:rsidTr="003C7BF5">
        <w:tc>
          <w:tcPr>
            <w:tcW w:w="2958" w:type="dxa"/>
            <w:tcBorders>
              <w:top w:val="single" w:sz="4" w:space="0" w:color="auto"/>
              <w:left w:val="nil"/>
              <w:bottom w:val="nil"/>
              <w:right w:val="nil"/>
            </w:tcBorders>
          </w:tcPr>
          <w:p w:rsidR="003C7BF5" w:rsidRDefault="003C7BF5" w:rsidP="007173B8">
            <w:pPr>
              <w:pStyle w:val="3"/>
              <w:spacing w:before="40" w:after="40" w:line="240" w:lineRule="auto"/>
              <w:jc w:val="center"/>
              <w:outlineLvl w:val="2"/>
              <w:rPr>
                <w:sz w:val="28"/>
                <w:rtl/>
              </w:rPr>
            </w:pPr>
            <w:r>
              <w:rPr>
                <w:rFonts w:hint="cs"/>
                <w:sz w:val="28"/>
                <w:rtl/>
              </w:rPr>
              <w:t>חיה זנדברג, שופטת</w:t>
            </w:r>
          </w:p>
        </w:tc>
      </w:tr>
    </w:tbl>
    <w:p w:rsidR="00B87194" w:rsidRDefault="00B87194">
      <w:pPr>
        <w:jc w:val="center"/>
        <w:rPr>
          <w:rtl/>
        </w:rPr>
      </w:pPr>
    </w:p>
    <w:p w:rsidR="00B87194" w:rsidRDefault="00B87194">
      <w:pPr>
        <w:bidi w:val="0"/>
      </w:pPr>
      <w:r>
        <w:rPr>
          <w:rtl/>
        </w:rPr>
        <w:br w:type="page"/>
      </w:r>
    </w:p>
    <w:p w:rsidR="003C7BF5" w:rsidRDefault="003C7BF5" w:rsidP="00C23EA9">
      <w:pPr>
        <w:rPr>
          <w:rFonts w:ascii="David" w:hAnsi="David"/>
          <w:sz w:val="26"/>
          <w:szCs w:val="26"/>
          <w:rtl/>
        </w:rPr>
      </w:pPr>
    </w:p>
    <w:p w:rsidR="003C7BF5" w:rsidRPr="003C7BF5" w:rsidRDefault="003C7BF5" w:rsidP="00C23EA9">
      <w:pPr>
        <w:rPr>
          <w:rFonts w:ascii="David" w:hAnsi="David"/>
          <w:sz w:val="26"/>
          <w:szCs w:val="26"/>
          <w:rtl/>
        </w:rPr>
      </w:pPr>
      <w:r w:rsidRPr="003C7BF5">
        <w:rPr>
          <w:rFonts w:ascii="David" w:hAnsi="David" w:hint="cs"/>
          <w:sz w:val="26"/>
          <w:szCs w:val="26"/>
          <w:rtl/>
        </w:rPr>
        <w:t>הוחלט פה אחד להטיל על הנאשם את העונשים כמפורט לעיל.</w:t>
      </w:r>
    </w:p>
    <w:p w:rsidR="003C7BF5" w:rsidRDefault="003C7BF5" w:rsidP="00C23EA9">
      <w:pPr>
        <w:pStyle w:val="ad"/>
        <w:rPr>
          <w:rFonts w:ascii="David" w:hAnsi="David" w:cs="David"/>
          <w:sz w:val="26"/>
          <w:szCs w:val="26"/>
        </w:rPr>
      </w:pPr>
    </w:p>
    <w:p w:rsidR="00C23EA9" w:rsidRPr="003C7BF5" w:rsidRDefault="00C23EA9" w:rsidP="003C7BF5">
      <w:pPr>
        <w:pStyle w:val="ad"/>
        <w:spacing w:line="360" w:lineRule="auto"/>
        <w:ind w:left="0"/>
        <w:jc w:val="both"/>
        <w:rPr>
          <w:rFonts w:ascii="David" w:hAnsi="David" w:cs="David"/>
          <w:b/>
          <w:bCs/>
          <w:sz w:val="26"/>
          <w:szCs w:val="26"/>
          <w:rtl/>
        </w:rPr>
      </w:pPr>
      <w:r w:rsidRPr="003C7BF5">
        <w:rPr>
          <w:rFonts w:ascii="David" w:hAnsi="David" w:cs="David"/>
          <w:b/>
          <w:bCs/>
          <w:sz w:val="26"/>
          <w:szCs w:val="26"/>
          <w:rtl/>
        </w:rPr>
        <w:t>ומילה אחרונה לנפגעים: ה', ילדיהם של בני הזוג כדורי, בני המשפחה של איוון, ואיגור. אין מלים שיכולות לתאר את הסבל שחוויתם, את הפציעה בגוף ובנפש שבה נפצעתם, כל אחד ואח</w:t>
      </w:r>
      <w:r w:rsidR="003C7BF5">
        <w:rPr>
          <w:rFonts w:ascii="David" w:hAnsi="David" w:cs="David" w:hint="cs"/>
          <w:b/>
          <w:bCs/>
          <w:sz w:val="26"/>
          <w:szCs w:val="26"/>
          <w:rtl/>
        </w:rPr>
        <w:t>ת</w:t>
      </w:r>
      <w:r w:rsidRPr="003C7BF5">
        <w:rPr>
          <w:rFonts w:ascii="David" w:hAnsi="David" w:cs="David"/>
          <w:b/>
          <w:bCs/>
          <w:sz w:val="26"/>
          <w:szCs w:val="26"/>
          <w:rtl/>
        </w:rPr>
        <w:t xml:space="preserve"> מכם, מי שנפגע בעצמו ומי שאיבד את יקיריו בדרך כל כך מכאיבה ונוראית. אנו מקווים שעם הגיע ההליך לסיומו, יחל תהליך ריפוי והחלמה ואנו מייחלים לכך שלצד הכאב העצום שאינו נעלם לעולם, תמצאו את הדרכים לחיים מלאים וטובים.</w:t>
      </w:r>
    </w:p>
    <w:p w:rsidR="00694556" w:rsidRDefault="003C7BF5">
      <w:pPr>
        <w:spacing w:line="360" w:lineRule="auto"/>
        <w:jc w:val="both"/>
        <w:rPr>
          <w:rFonts w:ascii="Arial" w:hAnsi="Arial"/>
          <w:noProof w:val="0"/>
          <w:sz w:val="26"/>
          <w:szCs w:val="26"/>
          <w:rtl/>
        </w:rPr>
      </w:pPr>
      <w:r>
        <w:rPr>
          <w:rFonts w:ascii="Arial" w:hAnsi="Arial" w:hint="cs"/>
          <w:noProof w:val="0"/>
          <w:sz w:val="26"/>
          <w:szCs w:val="26"/>
          <w:rtl/>
        </w:rPr>
        <w:t>זכות ערעור לבית המשפט העליון בתוך 45 יום.</w:t>
      </w:r>
    </w:p>
    <w:p w:rsidR="003C7BF5" w:rsidRPr="0046547C" w:rsidRDefault="003C7BF5">
      <w:pPr>
        <w:spacing w:line="360" w:lineRule="auto"/>
        <w:jc w:val="both"/>
        <w:rPr>
          <w:rFonts w:ascii="Arial" w:hAnsi="Arial"/>
          <w:noProof w:val="0"/>
          <w:sz w:val="26"/>
          <w:szCs w:val="26"/>
          <w:rtl/>
        </w:rPr>
      </w:pPr>
    </w:p>
    <w:p w:rsidR="00694556" w:rsidRDefault="00005C8B" w:rsidP="003C7BF5">
      <w:pPr>
        <w:spacing w:line="360" w:lineRule="auto"/>
        <w:jc w:val="both"/>
        <w:rPr>
          <w:rFonts w:ascii="Arial" w:hAnsi="Arial"/>
          <w:noProof w:val="0"/>
          <w:sz w:val="26"/>
          <w:szCs w:val="26"/>
        </w:rPr>
      </w:pPr>
      <w:r w:rsidRPr="0046547C">
        <w:rPr>
          <w:rFonts w:ascii="Arial" w:hAnsi="Arial"/>
          <w:noProof w:val="0"/>
          <w:sz w:val="26"/>
          <w:szCs w:val="26"/>
          <w:rtl/>
        </w:rPr>
        <w:t>ניתן היום</w:t>
      </w:r>
      <w:r w:rsidR="003C7BF5">
        <w:rPr>
          <w:rFonts w:ascii="Arial" w:hAnsi="Arial" w:hint="cs"/>
          <w:noProof w:val="0"/>
          <w:sz w:val="26"/>
          <w:szCs w:val="26"/>
          <w:rtl/>
        </w:rPr>
        <w:t>, ה' בשבט התשפ"ה, 3.2.2025 במעמד</w:t>
      </w:r>
      <w:r w:rsidRPr="0046547C">
        <w:rPr>
          <w:rFonts w:ascii="Arial" w:hAnsi="Arial"/>
          <w:noProof w:val="0"/>
          <w:sz w:val="26"/>
          <w:szCs w:val="26"/>
          <w:rtl/>
        </w:rPr>
        <w:t xml:space="preserve"> הצדדים.</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2"/>
        <w:gridCol w:w="236"/>
        <w:gridCol w:w="2294"/>
        <w:gridCol w:w="236"/>
        <w:gridCol w:w="2657"/>
      </w:tblGrid>
      <w:tr w:rsidR="0074401E" w:rsidTr="00620F1F">
        <w:tc>
          <w:tcPr>
            <w:tcW w:w="2782" w:type="dxa"/>
            <w:tcBorders>
              <w:top w:val="nil"/>
              <w:left w:val="nil"/>
              <w:bottom w:val="single" w:sz="4" w:space="0" w:color="auto"/>
              <w:right w:val="nil"/>
            </w:tcBorders>
            <w:vAlign w:val="center"/>
          </w:tcPr>
          <w:p w:rsidR="0074401E" w:rsidRDefault="0074401E" w:rsidP="00620C2B">
            <w:pPr>
              <w:spacing w:before="40" w:after="40"/>
              <w:jc w:val="center"/>
              <w:rPr>
                <w:rFonts w:ascii="Courier New" w:hAnsi="Courier New"/>
                <w:b/>
                <w:bCs/>
                <w:rtl/>
              </w:rPr>
            </w:pPr>
            <w:r>
              <w:drawing>
                <wp:inline distT="0" distB="0" distL="0" distR="0" wp14:anchorId="68CC27F0" wp14:editId="58ED5BC9">
                  <wp:extent cx="981075" cy="752475"/>
                  <wp:effectExtent l="0" t="0" r="9525" b="9525"/>
                  <wp:docPr id="8" name="Picture 1" descr="022213889"/>
                  <wp:cNvGraphicFramePr/>
                  <a:graphic xmlns:a="http://schemas.openxmlformats.org/drawingml/2006/main">
                    <a:graphicData uri="http://schemas.openxmlformats.org/drawingml/2006/picture">
                      <pic:pic xmlns:pic="http://schemas.openxmlformats.org/drawingml/2006/picture">
                        <pic:nvPicPr>
                          <pic:cNvPr id="1" name="Picture 1" descr="022213889"/>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c>
          <w:tcPr>
            <w:tcW w:w="236" w:type="dxa"/>
            <w:vAlign w:val="center"/>
          </w:tcPr>
          <w:p w:rsidR="0074401E" w:rsidRDefault="0074401E" w:rsidP="00620C2B">
            <w:pPr>
              <w:spacing w:before="40" w:after="40"/>
              <w:jc w:val="center"/>
              <w:rPr>
                <w:rFonts w:ascii="Courier New" w:hAnsi="Courier New"/>
                <w:b/>
                <w:bCs/>
              </w:rPr>
            </w:pPr>
          </w:p>
        </w:tc>
        <w:tc>
          <w:tcPr>
            <w:tcW w:w="2166" w:type="dxa"/>
            <w:tcBorders>
              <w:top w:val="nil"/>
              <w:left w:val="nil"/>
              <w:bottom w:val="single" w:sz="4" w:space="0" w:color="auto"/>
              <w:right w:val="nil"/>
            </w:tcBorders>
            <w:vAlign w:val="center"/>
          </w:tcPr>
          <w:p w:rsidR="0074401E" w:rsidRDefault="0074401E" w:rsidP="00620C2B">
            <w:pPr>
              <w:spacing w:before="40" w:after="40"/>
              <w:jc w:val="center"/>
              <w:rPr>
                <w:rFonts w:ascii="Courier New" w:hAnsi="Courier New"/>
                <w:b/>
                <w:bCs/>
                <w:rtl/>
              </w:rPr>
            </w:pPr>
            <w:r>
              <w:drawing>
                <wp:inline distT="0" distB="0" distL="0" distR="0" wp14:anchorId="1AE5970C" wp14:editId="74E05DD4">
                  <wp:extent cx="1319530" cy="457200"/>
                  <wp:effectExtent l="0" t="0" r="0" b="0"/>
                  <wp:docPr id="9" name="תמונה 9" descr="C:\Users\ShimiG\AppData\Local\Microsoft\Windows\Temporary Internet Files\Content.Word\056423866.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56423866.tif"/>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c>
          <w:tcPr>
            <w:tcW w:w="236" w:type="dxa"/>
            <w:vAlign w:val="center"/>
          </w:tcPr>
          <w:p w:rsidR="0074401E" w:rsidRDefault="0074401E" w:rsidP="00620C2B">
            <w:pPr>
              <w:spacing w:before="40" w:after="40"/>
              <w:jc w:val="center"/>
              <w:rPr>
                <w:rFonts w:ascii="Courier New" w:hAnsi="Courier New"/>
                <w:b/>
                <w:bCs/>
              </w:rPr>
            </w:pPr>
          </w:p>
        </w:tc>
        <w:tc>
          <w:tcPr>
            <w:tcW w:w="2274" w:type="dxa"/>
            <w:tcBorders>
              <w:top w:val="nil"/>
              <w:left w:val="nil"/>
              <w:bottom w:val="single" w:sz="4" w:space="0" w:color="auto"/>
              <w:right w:val="nil"/>
            </w:tcBorders>
            <w:vAlign w:val="center"/>
          </w:tcPr>
          <w:p w:rsidR="0074401E" w:rsidRPr="005211D4" w:rsidRDefault="0074401E" w:rsidP="00620C2B">
            <w:pPr>
              <w:spacing w:before="40" w:after="40"/>
              <w:jc w:val="center"/>
              <w:rPr>
                <w:rFonts w:ascii="Courier New" w:hAnsi="Courier New"/>
                <w:b/>
                <w:bCs/>
              </w:rPr>
            </w:pPr>
            <w:r>
              <w:drawing>
                <wp:inline distT="0" distB="0" distL="0" distR="0" wp14:anchorId="648F91D7" wp14:editId="72DAE2C2">
                  <wp:extent cx="1550102" cy="636270"/>
                  <wp:effectExtent l="0" t="0" r="0" b="0"/>
                  <wp:docPr id="10" name="תמונה 10" descr="C:\Users\ShimiG\AppData\Local\Microsoft\Windows\Temporary Internet Files\Content.Word\022787378.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22787378.tif"/>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1730" cy="636938"/>
                          </a:xfrm>
                          <a:prstGeom prst="rect">
                            <a:avLst/>
                          </a:prstGeom>
                          <a:noFill/>
                          <a:ln>
                            <a:noFill/>
                          </a:ln>
                        </pic:spPr>
                      </pic:pic>
                    </a:graphicData>
                  </a:graphic>
                </wp:inline>
              </w:drawing>
            </w:r>
          </w:p>
        </w:tc>
      </w:tr>
      <w:tr w:rsidR="0074401E" w:rsidTr="00620F1F">
        <w:tc>
          <w:tcPr>
            <w:tcW w:w="2782" w:type="dxa"/>
            <w:tcBorders>
              <w:top w:val="single" w:sz="4" w:space="0" w:color="auto"/>
              <w:left w:val="nil"/>
              <w:bottom w:val="nil"/>
              <w:right w:val="nil"/>
            </w:tcBorders>
          </w:tcPr>
          <w:p w:rsidR="0074401E" w:rsidRDefault="0074401E" w:rsidP="0074401E">
            <w:pPr>
              <w:spacing w:before="40" w:after="40"/>
              <w:jc w:val="center"/>
              <w:rPr>
                <w:b/>
                <w:bCs/>
                <w:sz w:val="28"/>
                <w:rtl/>
              </w:rPr>
            </w:pPr>
            <w:r>
              <w:rPr>
                <w:rFonts w:hint="cs"/>
                <w:b/>
                <w:bCs/>
                <w:sz w:val="28"/>
                <w:rtl/>
              </w:rPr>
              <w:t>ארנון דראל, סגן נשיא</w:t>
            </w:r>
          </w:p>
        </w:tc>
        <w:tc>
          <w:tcPr>
            <w:tcW w:w="236" w:type="dxa"/>
          </w:tcPr>
          <w:p w:rsidR="0074401E" w:rsidRDefault="0074401E" w:rsidP="00620C2B">
            <w:pPr>
              <w:spacing w:before="40" w:after="40"/>
              <w:jc w:val="center"/>
              <w:rPr>
                <w:b/>
                <w:bCs/>
                <w:color w:val="FF0000"/>
                <w:sz w:val="28"/>
              </w:rPr>
            </w:pPr>
          </w:p>
        </w:tc>
        <w:tc>
          <w:tcPr>
            <w:tcW w:w="2166" w:type="dxa"/>
            <w:tcBorders>
              <w:top w:val="single" w:sz="4" w:space="0" w:color="auto"/>
              <w:left w:val="nil"/>
              <w:bottom w:val="nil"/>
              <w:right w:val="nil"/>
            </w:tcBorders>
          </w:tcPr>
          <w:p w:rsidR="0074401E" w:rsidRPr="005211D4" w:rsidRDefault="0074401E" w:rsidP="0074401E">
            <w:pPr>
              <w:pStyle w:val="3"/>
              <w:spacing w:before="40" w:after="40" w:line="240" w:lineRule="auto"/>
              <w:jc w:val="center"/>
              <w:outlineLvl w:val="2"/>
              <w:rPr>
                <w:sz w:val="28"/>
                <w:rtl/>
              </w:rPr>
            </w:pPr>
            <w:r>
              <w:rPr>
                <w:rFonts w:hint="cs"/>
                <w:sz w:val="28"/>
                <w:rtl/>
              </w:rPr>
              <w:t>אלי אברבנאל, שופט</w:t>
            </w:r>
          </w:p>
        </w:tc>
        <w:tc>
          <w:tcPr>
            <w:tcW w:w="236" w:type="dxa"/>
          </w:tcPr>
          <w:p w:rsidR="0074401E" w:rsidRDefault="0074401E" w:rsidP="00620C2B">
            <w:pPr>
              <w:spacing w:before="40" w:after="40"/>
              <w:jc w:val="center"/>
              <w:rPr>
                <w:b/>
                <w:bCs/>
                <w:color w:val="FF0000"/>
                <w:sz w:val="28"/>
              </w:rPr>
            </w:pPr>
          </w:p>
        </w:tc>
        <w:tc>
          <w:tcPr>
            <w:tcW w:w="2274" w:type="dxa"/>
            <w:tcBorders>
              <w:top w:val="single" w:sz="4" w:space="0" w:color="auto"/>
              <w:left w:val="nil"/>
              <w:bottom w:val="nil"/>
              <w:right w:val="nil"/>
            </w:tcBorders>
          </w:tcPr>
          <w:p w:rsidR="0074401E" w:rsidRDefault="0074401E" w:rsidP="0074401E">
            <w:pPr>
              <w:spacing w:before="40" w:after="40"/>
              <w:jc w:val="center"/>
              <w:rPr>
                <w:b/>
                <w:bCs/>
                <w:sz w:val="28"/>
              </w:rPr>
            </w:pPr>
            <w:r>
              <w:rPr>
                <w:rFonts w:hint="cs"/>
                <w:b/>
                <w:bCs/>
                <w:sz w:val="28"/>
                <w:rtl/>
              </w:rPr>
              <w:t>חיה זנדברג, שופטת</w:t>
            </w:r>
          </w:p>
        </w:tc>
      </w:tr>
    </w:tbl>
    <w:p w:rsidR="0074401E" w:rsidRDefault="0074401E">
      <w:pPr>
        <w:jc w:val="center"/>
        <w:rPr>
          <w:rtl/>
        </w:rPr>
      </w:pPr>
    </w:p>
    <w:p w:rsidR="0074401E" w:rsidRDefault="0074401E" w:rsidP="003C7BF5">
      <w:pPr>
        <w:spacing w:line="360" w:lineRule="auto"/>
        <w:jc w:val="both"/>
        <w:rPr>
          <w:rFonts w:ascii="Arial" w:hAnsi="Arial"/>
          <w:noProof w:val="0"/>
          <w:sz w:val="26"/>
          <w:szCs w:val="26"/>
          <w:rtl/>
        </w:rPr>
      </w:pPr>
    </w:p>
    <w:sectPr w:rsidR="0074401E" w:rsidSect="00C23EA9">
      <w:headerReference w:type="default" r:id="rId11"/>
      <w:footerReference w:type="default" r:id="rId12"/>
      <w:pgSz w:w="11907" w:h="16840" w:code="9"/>
      <w:pgMar w:top="1025" w:right="1701" w:bottom="1418"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541" w:rsidRDefault="00507541">
      <w:r>
        <w:separator/>
      </w:r>
    </w:p>
  </w:endnote>
  <w:endnote w:type="continuationSeparator" w:id="0">
    <w:p w:rsidR="00507541" w:rsidRDefault="0050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04F3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846A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846A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541" w:rsidRDefault="00507541">
      <w:r>
        <w:separator/>
      </w:r>
    </w:p>
  </w:footnote>
  <w:footnote w:type="continuationSeparator" w:id="0">
    <w:p w:rsidR="00507541" w:rsidRDefault="0050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656CA">
    <w:pPr>
      <w:pStyle w:val="a3"/>
      <w:jc w:val="center"/>
      <w:rPr>
        <w:rFonts w:cs="FrankRuehl"/>
        <w:noProof w:val="0"/>
        <w:sz w:val="28"/>
        <w:szCs w:val="28"/>
        <w:rtl/>
      </w:rPr>
    </w:pPr>
    <w:r>
      <w:rPr>
        <w:rFonts w:cs="FrankRuehl"/>
        <w:sz w:val="28"/>
        <w:szCs w:val="28"/>
      </w:rPr>
      <w:drawing>
        <wp:inline distT="0" distB="0" distL="0" distR="0" wp14:anchorId="76DBE9F8" wp14:editId="6DABCB2C">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707" w:type="dxa"/>
      <w:jc w:val="center"/>
      <w:tblLook w:val="0000" w:firstRow="0" w:lastRow="0" w:firstColumn="0" w:lastColumn="0" w:noHBand="0" w:noVBand="0"/>
    </w:tblPr>
    <w:tblGrid>
      <w:gridCol w:w="6383"/>
      <w:gridCol w:w="2315"/>
      <w:gridCol w:w="9"/>
    </w:tblGrid>
    <w:tr w:rsidR="00694556" w:rsidTr="00C23EA9">
      <w:trPr>
        <w:gridAfter w:val="1"/>
        <w:wAfter w:w="9" w:type="dxa"/>
        <w:trHeight w:hRule="exact" w:val="418"/>
        <w:jc w:val="center"/>
      </w:trPr>
      <w:sdt>
        <w:sdtPr>
          <w:rPr>
            <w:rtl/>
          </w:rPr>
          <w:alias w:val="1174"/>
          <w:tag w:val="1174"/>
          <w:id w:val="463088860"/>
          <w:text/>
        </w:sdtPr>
        <w:sdtEndPr/>
        <w:sdtContent>
          <w:tc>
            <w:tcPr>
              <w:tcW w:w="8698" w:type="dxa"/>
              <w:gridSpan w:val="2"/>
            </w:tcPr>
            <w:p w:rsidR="00694556" w:rsidRPr="00D2339A" w:rsidRDefault="00005C8B">
              <w:pPr>
                <w:pStyle w:val="a3"/>
                <w:jc w:val="center"/>
                <w:rPr>
                  <w:rFonts w:ascii="Tahoma" w:hAnsi="Tahoma" w:cs="Tahoma"/>
                  <w:noProof w:val="0"/>
                  <w:color w:val="000080"/>
                  <w:rtl/>
                </w:rPr>
              </w:pPr>
              <w:r w:rsidRPr="00D2339A">
                <w:rPr>
                  <w:rFonts w:ascii="Tahoma" w:hAnsi="Tahoma" w:cs="Tahoma"/>
                  <w:b/>
                  <w:bCs/>
                  <w:noProof w:val="0"/>
                  <w:color w:val="000080"/>
                  <w:rtl/>
                </w:rPr>
                <w:t>בית המשפט המחוזי בירושלים</w:t>
              </w:r>
            </w:p>
          </w:tc>
        </w:sdtContent>
      </w:sdt>
    </w:tr>
    <w:tr w:rsidR="00694556" w:rsidRPr="001D5045" w:rsidTr="00C23EA9">
      <w:trPr>
        <w:trHeight w:val="337"/>
        <w:jc w:val="center"/>
      </w:trPr>
      <w:tc>
        <w:tcPr>
          <w:tcW w:w="6383" w:type="dxa"/>
        </w:tcPr>
        <w:p w:rsidR="00694556" w:rsidRPr="0046547C" w:rsidRDefault="00AF4D06" w:rsidP="00C23EA9">
          <w:pPr>
            <w:rPr>
              <w:rFonts w:ascii="Tahoma" w:hAnsi="Tahoma" w:cs="Tahoma"/>
              <w:b/>
              <w:bCs/>
              <w:sz w:val="20"/>
              <w:szCs w:val="20"/>
              <w:rtl/>
            </w:rPr>
          </w:pPr>
          <w:r w:rsidRPr="00454269">
            <w:rPr>
              <w:rFonts w:ascii="Tahoma" w:hAnsi="Tahoma" w:cs="Tahoma"/>
              <w:b/>
              <w:bCs/>
              <w:sz w:val="20"/>
              <w:szCs w:val="20"/>
              <w:rtl/>
            </w:rPr>
            <w:t>בפני כב' ה</w:t>
          </w:r>
          <w:r w:rsidR="000D4192">
            <w:rPr>
              <w:rFonts w:ascii="Tahoma" w:hAnsi="Tahoma" w:cs="Tahoma" w:hint="cs"/>
              <w:b/>
              <w:bCs/>
              <w:sz w:val="20"/>
              <w:szCs w:val="20"/>
              <w:rtl/>
            </w:rPr>
            <w:t>שופט</w:t>
          </w:r>
          <w:r w:rsidR="00C23EA9">
            <w:rPr>
              <w:rFonts w:ascii="Tahoma" w:hAnsi="Tahoma" w:cs="Tahoma" w:hint="cs"/>
              <w:b/>
              <w:bCs/>
              <w:sz w:val="20"/>
              <w:szCs w:val="20"/>
              <w:rtl/>
            </w:rPr>
            <w:t>ים</w:t>
          </w:r>
          <w:r w:rsidR="00C45626" w:rsidRPr="00454269">
            <w:rPr>
              <w:rFonts w:ascii="Tahoma" w:hAnsi="Tahoma" w:cs="Tahoma"/>
              <w:b/>
              <w:bCs/>
              <w:sz w:val="20"/>
              <w:szCs w:val="20"/>
              <w:rtl/>
            </w:rPr>
            <w:t xml:space="preserve"> </w:t>
          </w:r>
          <w:sdt>
            <w:sdtPr>
              <w:rPr>
                <w:rtl/>
              </w:rPr>
              <w:alias w:val="1573"/>
              <w:tag w:val="1573"/>
              <w:id w:val="-1426344899"/>
              <w:text w:multiLine="1"/>
            </w:sdtPr>
            <w:sdtEndPr/>
            <w:sdtContent>
              <w:r>
                <w:rPr>
                  <w:rFonts w:ascii="Tahoma" w:hAnsi="Tahoma" w:cs="Tahoma"/>
                  <w:b/>
                  <w:bCs/>
                  <w:sz w:val="20"/>
                  <w:szCs w:val="20"/>
                  <w:rtl/>
                </w:rPr>
                <w:t>א</w:t>
              </w:r>
              <w:r w:rsidR="00C23EA9">
                <w:rPr>
                  <w:rFonts w:ascii="Tahoma" w:hAnsi="Tahoma" w:cs="Tahoma" w:hint="cs"/>
                  <w:b/>
                  <w:bCs/>
                  <w:sz w:val="20"/>
                  <w:szCs w:val="20"/>
                  <w:rtl/>
                </w:rPr>
                <w:t>'</w:t>
              </w:r>
              <w:r>
                <w:rPr>
                  <w:rFonts w:ascii="Tahoma" w:hAnsi="Tahoma" w:cs="Tahoma"/>
                  <w:b/>
                  <w:bCs/>
                  <w:sz w:val="20"/>
                  <w:szCs w:val="20"/>
                  <w:rtl/>
                </w:rPr>
                <w:t xml:space="preserve"> דראל</w:t>
              </w:r>
              <w:r w:rsidR="00C23EA9">
                <w:rPr>
                  <w:rFonts w:ascii="Tahoma" w:hAnsi="Tahoma" w:cs="Tahoma" w:hint="cs"/>
                  <w:b/>
                  <w:bCs/>
                  <w:sz w:val="20"/>
                  <w:szCs w:val="20"/>
                  <w:rtl/>
                </w:rPr>
                <w:t>-</w:t>
              </w:r>
            </w:sdtContent>
          </w:sdt>
          <w:r w:rsidR="000D4192">
            <w:rPr>
              <w:rFonts w:ascii="Tahoma" w:hAnsi="Tahoma" w:cs="Tahoma" w:hint="cs"/>
              <w:b/>
              <w:bCs/>
              <w:sz w:val="20"/>
              <w:szCs w:val="20"/>
              <w:rtl/>
            </w:rPr>
            <w:t>סגן נשיא</w:t>
          </w:r>
          <w:r w:rsidR="00C23EA9">
            <w:rPr>
              <w:rFonts w:ascii="Tahoma" w:hAnsi="Tahoma" w:cs="Tahoma" w:hint="cs"/>
              <w:b/>
              <w:bCs/>
              <w:sz w:val="20"/>
              <w:szCs w:val="20"/>
              <w:rtl/>
            </w:rPr>
            <w:t>, א' אברבנאל, ח' זנדברג</w:t>
          </w:r>
        </w:p>
      </w:tc>
      <w:tc>
        <w:tcPr>
          <w:tcW w:w="2324" w:type="dxa"/>
          <w:gridSpan w:val="2"/>
        </w:tcPr>
        <w:p w:rsidR="00694556" w:rsidRPr="00454269" w:rsidRDefault="003C7BF5">
          <w:pPr>
            <w:pStyle w:val="a3"/>
            <w:jc w:val="right"/>
            <w:rPr>
              <w:rFonts w:ascii="Tahoma" w:hAnsi="Tahoma" w:cs="Tahoma"/>
              <w:b/>
              <w:bCs/>
              <w:noProof w:val="0"/>
              <w:sz w:val="20"/>
              <w:szCs w:val="20"/>
              <w:rtl/>
            </w:rPr>
          </w:pPr>
          <w:r>
            <w:rPr>
              <w:rFonts w:ascii="Tahoma" w:hAnsi="Tahoma" w:cs="Tahoma"/>
              <w:b/>
              <w:bCs/>
              <w:noProof w:val="0"/>
              <w:sz w:val="20"/>
              <w:szCs w:val="20"/>
            </w:rPr>
            <w:t>3.2.2025</w:t>
          </w:r>
        </w:p>
      </w:tc>
    </w:tr>
    <w:tr w:rsidR="00694556" w:rsidRPr="001D5045" w:rsidTr="00C23EA9">
      <w:trPr>
        <w:gridAfter w:val="1"/>
        <w:wAfter w:w="9" w:type="dxa"/>
        <w:trHeight w:val="907"/>
        <w:jc w:val="center"/>
      </w:trPr>
      <w:tc>
        <w:tcPr>
          <w:tcW w:w="8698" w:type="dxa"/>
          <w:gridSpan w:val="2"/>
        </w:tcPr>
        <w:p w:rsidR="00694556" w:rsidRPr="00454269" w:rsidRDefault="00507541" w:rsidP="00C23EA9">
          <w:pPr>
            <w:rPr>
              <w:rFonts w:ascii="Tahoma" w:hAnsi="Tahoma" w:cs="Tahoma"/>
              <w:b/>
              <w:bCs/>
              <w:noProof w:val="0"/>
              <w:sz w:val="20"/>
              <w:szCs w:val="20"/>
              <w:rtl/>
            </w:rPr>
          </w:pPr>
          <w:sdt>
            <w:sdtPr>
              <w:rPr>
                <w:rtl/>
              </w:rPr>
              <w:alias w:val="1170"/>
              <w:tag w:val="1170"/>
              <w:id w:val="1701279526"/>
              <w:text w:multiLine="1"/>
            </w:sdtPr>
            <w:sdtEndPr/>
            <w:sdtContent>
              <w:r w:rsidR="007F39CF">
                <w:rPr>
                  <w:rFonts w:ascii="Tahoma" w:hAnsi="Tahoma" w:cs="Tahoma"/>
                  <w:b/>
                  <w:bCs/>
                  <w:noProof w:val="0"/>
                  <w:sz w:val="20"/>
                  <w:szCs w:val="20"/>
                  <w:rtl/>
                </w:rPr>
                <w:t>תפ"ח</w:t>
              </w:r>
            </w:sdtContent>
          </w:sdt>
          <w:r w:rsidR="00005C8B" w:rsidRPr="00454269">
            <w:rPr>
              <w:rFonts w:ascii="Tahoma" w:hAnsi="Tahoma" w:cs="Tahoma"/>
              <w:b/>
              <w:bCs/>
              <w:noProof w:val="0"/>
              <w:sz w:val="20"/>
              <w:szCs w:val="20"/>
              <w:rtl/>
            </w:rPr>
            <w:t xml:space="preserve"> </w:t>
          </w:r>
          <w:sdt>
            <w:sdtPr>
              <w:rPr>
                <w:rtl/>
              </w:rPr>
              <w:alias w:val="1171"/>
              <w:tag w:val="1171"/>
              <w:id w:val="1238286281"/>
              <w:text w:multiLine="1"/>
            </w:sdtPr>
            <w:sdtEndPr/>
            <w:sdtContent>
              <w:r w:rsidR="007F39CF">
                <w:rPr>
                  <w:rFonts w:ascii="Tahoma" w:hAnsi="Tahoma" w:cs="Tahoma"/>
                  <w:b/>
                  <w:bCs/>
                  <w:noProof w:val="0"/>
                  <w:sz w:val="20"/>
                  <w:szCs w:val="20"/>
                  <w:rtl/>
                </w:rPr>
                <w:t>33269-04-22</w:t>
              </w:r>
            </w:sdtContent>
          </w:sdt>
          <w:r w:rsidR="00A25F2F">
            <w:rPr>
              <w:rFonts w:hint="cs"/>
              <w:rtl/>
            </w:rPr>
            <w:t xml:space="preserve"> </w:t>
          </w:r>
          <w:sdt>
            <w:sdtPr>
              <w:rPr>
                <w:rFonts w:ascii="Tahoma" w:hAnsi="Tahoma" w:cs="Tahoma" w:hint="cs"/>
                <w:b/>
                <w:bCs/>
                <w:noProof w:val="0"/>
                <w:sz w:val="20"/>
                <w:szCs w:val="20"/>
                <w:rtl/>
              </w:rPr>
              <w:alias w:val="3154"/>
              <w:tag w:val="3154"/>
              <w:id w:val="-150608372"/>
              <w:placeholder>
                <w:docPart w:val="49ABB6F9A49A4AA6A8174C7B064678B7"/>
              </w:placeholder>
              <w:text w:multiLine="1"/>
            </w:sdtPr>
            <w:sdtEndPr/>
            <w:sdtContent>
              <w:r w:rsidR="007F39CF">
                <w:rPr>
                  <w:rFonts w:ascii="Tahoma" w:hAnsi="Tahoma" w:cs="Tahoma" w:hint="eastAsia"/>
                  <w:b/>
                  <w:bCs/>
                  <w:noProof w:val="0"/>
                  <w:sz w:val="20"/>
                  <w:szCs w:val="20"/>
                  <w:rtl/>
                </w:rPr>
                <w:t>מדינת ישראל נ' אסעיד</w:t>
              </w:r>
            </w:sdtContent>
          </w:sdt>
          <w:r w:rsidR="00A25F2F">
            <w:rPr>
              <w:rFonts w:ascii="Tahoma" w:hAnsi="Tahoma" w:cs="Tahoma"/>
              <w:b/>
              <w:bCs/>
              <w:noProof w:val="0"/>
              <w:sz w:val="20"/>
              <w:szCs w:val="20"/>
              <w:rtl/>
            </w:rPr>
            <w:t xml:space="preserve"> </w:t>
          </w:r>
        </w:p>
        <w:p w:rsidR="00694556" w:rsidRDefault="00694556">
          <w:pPr>
            <w:rPr>
              <w:rtl/>
            </w:rPr>
          </w:pPr>
        </w:p>
        <w:p w:rsidR="00494877" w:rsidRDefault="00494877">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A291B"/>
    <w:multiLevelType w:val="hybridMultilevel"/>
    <w:tmpl w:val="A306AB90"/>
    <w:lvl w:ilvl="0" w:tplc="7FCC5614">
      <w:start w:val="1"/>
      <w:numFmt w:val="hebrew1"/>
      <w:lvlText w:val="%1."/>
      <w:lvlJc w:val="left"/>
      <w:pPr>
        <w:ind w:left="444" w:hanging="360"/>
      </w:pPr>
      <w:rPr>
        <w:color w:val="000000"/>
      </w:rPr>
    </w:lvl>
    <w:lvl w:ilvl="1" w:tplc="04090019">
      <w:start w:val="1"/>
      <w:numFmt w:val="lowerLetter"/>
      <w:lvlText w:val="%2."/>
      <w:lvlJc w:val="left"/>
      <w:pPr>
        <w:ind w:left="1164" w:hanging="360"/>
      </w:pPr>
    </w:lvl>
    <w:lvl w:ilvl="2" w:tplc="0409001B">
      <w:start w:val="1"/>
      <w:numFmt w:val="lowerRoman"/>
      <w:lvlText w:val="%3."/>
      <w:lvlJc w:val="right"/>
      <w:pPr>
        <w:ind w:left="1884" w:hanging="180"/>
      </w:pPr>
    </w:lvl>
    <w:lvl w:ilvl="3" w:tplc="0409000F">
      <w:start w:val="1"/>
      <w:numFmt w:val="decimal"/>
      <w:lvlText w:val="%4."/>
      <w:lvlJc w:val="left"/>
      <w:pPr>
        <w:ind w:left="2604" w:hanging="360"/>
      </w:pPr>
    </w:lvl>
    <w:lvl w:ilvl="4" w:tplc="04090019">
      <w:start w:val="1"/>
      <w:numFmt w:val="lowerLetter"/>
      <w:lvlText w:val="%5."/>
      <w:lvlJc w:val="left"/>
      <w:pPr>
        <w:ind w:left="3324" w:hanging="360"/>
      </w:pPr>
    </w:lvl>
    <w:lvl w:ilvl="5" w:tplc="0409001B">
      <w:start w:val="1"/>
      <w:numFmt w:val="lowerRoman"/>
      <w:lvlText w:val="%6."/>
      <w:lvlJc w:val="right"/>
      <w:pPr>
        <w:ind w:left="4044" w:hanging="180"/>
      </w:pPr>
    </w:lvl>
    <w:lvl w:ilvl="6" w:tplc="0409000F">
      <w:start w:val="1"/>
      <w:numFmt w:val="decimal"/>
      <w:lvlText w:val="%7."/>
      <w:lvlJc w:val="left"/>
      <w:pPr>
        <w:ind w:left="4764" w:hanging="360"/>
      </w:pPr>
    </w:lvl>
    <w:lvl w:ilvl="7" w:tplc="04090019">
      <w:start w:val="1"/>
      <w:numFmt w:val="lowerLetter"/>
      <w:lvlText w:val="%8."/>
      <w:lvlJc w:val="left"/>
      <w:pPr>
        <w:ind w:left="5484" w:hanging="360"/>
      </w:pPr>
    </w:lvl>
    <w:lvl w:ilvl="8" w:tplc="0409001B">
      <w:start w:val="1"/>
      <w:numFmt w:val="lowerRoman"/>
      <w:lvlText w:val="%9."/>
      <w:lvlJc w:val="right"/>
      <w:pPr>
        <w:ind w:left="6204" w:hanging="180"/>
      </w:pPr>
    </w:lvl>
  </w:abstractNum>
  <w:abstractNum w:abstractNumId="1" w15:restartNumberingAfterBreak="0">
    <w:nsid w:val="43BC5187"/>
    <w:multiLevelType w:val="hybridMultilevel"/>
    <w:tmpl w:val="2D8A5634"/>
    <w:lvl w:ilvl="0" w:tplc="584E0B62">
      <w:start w:val="1"/>
      <w:numFmt w:val="hebrew1"/>
      <w:lvlText w:val="%1."/>
      <w:lvlJc w:val="left"/>
      <w:pPr>
        <w:ind w:left="1080" w:hanging="360"/>
      </w:pPr>
    </w:lvl>
    <w:lvl w:ilvl="1" w:tplc="13F865C4">
      <w:start w:val="1"/>
      <w:numFmt w:val="lowerLetter"/>
      <w:lvlText w:val="%2."/>
      <w:lvlJc w:val="left"/>
      <w:pPr>
        <w:ind w:left="1800" w:hanging="360"/>
      </w:pPr>
    </w:lvl>
    <w:lvl w:ilvl="2" w:tplc="82068BF6">
      <w:start w:val="1"/>
      <w:numFmt w:val="lowerRoman"/>
      <w:lvlText w:val="%3."/>
      <w:lvlJc w:val="right"/>
      <w:pPr>
        <w:ind w:left="2520" w:hanging="180"/>
      </w:pPr>
    </w:lvl>
    <w:lvl w:ilvl="3" w:tplc="CDB2A5EC">
      <w:start w:val="1"/>
      <w:numFmt w:val="decimal"/>
      <w:lvlText w:val="%4."/>
      <w:lvlJc w:val="left"/>
      <w:pPr>
        <w:ind w:left="3240" w:hanging="360"/>
      </w:pPr>
    </w:lvl>
    <w:lvl w:ilvl="4" w:tplc="C2245554">
      <w:start w:val="1"/>
      <w:numFmt w:val="lowerLetter"/>
      <w:lvlText w:val="%5."/>
      <w:lvlJc w:val="left"/>
      <w:pPr>
        <w:ind w:left="3960" w:hanging="360"/>
      </w:pPr>
    </w:lvl>
    <w:lvl w:ilvl="5" w:tplc="E034ED2A">
      <w:start w:val="1"/>
      <w:numFmt w:val="lowerRoman"/>
      <w:lvlText w:val="%6."/>
      <w:lvlJc w:val="right"/>
      <w:pPr>
        <w:ind w:left="4680" w:hanging="180"/>
      </w:pPr>
    </w:lvl>
    <w:lvl w:ilvl="6" w:tplc="21C0464A">
      <w:start w:val="1"/>
      <w:numFmt w:val="decimal"/>
      <w:lvlText w:val="%7."/>
      <w:lvlJc w:val="left"/>
      <w:pPr>
        <w:ind w:left="5400" w:hanging="360"/>
      </w:pPr>
    </w:lvl>
    <w:lvl w:ilvl="7" w:tplc="1114A460">
      <w:start w:val="1"/>
      <w:numFmt w:val="lowerLetter"/>
      <w:lvlText w:val="%8."/>
      <w:lvlJc w:val="left"/>
      <w:pPr>
        <w:ind w:left="6120" w:hanging="360"/>
      </w:pPr>
    </w:lvl>
    <w:lvl w:ilvl="8" w:tplc="A2B20BCE">
      <w:start w:val="1"/>
      <w:numFmt w:val="lowerRoman"/>
      <w:lvlText w:val="%9."/>
      <w:lvlJc w:val="right"/>
      <w:pPr>
        <w:ind w:left="6840" w:hanging="180"/>
      </w:pPr>
    </w:lvl>
  </w:abstractNum>
  <w:abstractNum w:abstractNumId="2" w15:restartNumberingAfterBreak="0">
    <w:nsid w:val="53E07A1F"/>
    <w:multiLevelType w:val="hybridMultilevel"/>
    <w:tmpl w:val="E52AF780"/>
    <w:lvl w:ilvl="0" w:tplc="A5EAA6B6">
      <w:start w:val="1"/>
      <w:numFmt w:val="hebrew1"/>
      <w:lvlText w:val="%1."/>
      <w:lvlJc w:val="left"/>
      <w:pPr>
        <w:ind w:left="1011" w:hanging="360"/>
      </w:pPr>
      <w:rPr>
        <w:rFonts w:ascii="David" w:hAnsi="David" w:cs="David" w:hint="default"/>
        <w:b/>
        <w:sz w:val="26"/>
        <w:szCs w:val="26"/>
      </w:rPr>
    </w:lvl>
    <w:lvl w:ilvl="1" w:tplc="281E7D0A">
      <w:start w:val="1"/>
      <w:numFmt w:val="lowerLetter"/>
      <w:lvlText w:val="%2."/>
      <w:lvlJc w:val="left"/>
      <w:pPr>
        <w:ind w:left="1731" w:hanging="360"/>
      </w:pPr>
    </w:lvl>
    <w:lvl w:ilvl="2" w:tplc="83306798">
      <w:start w:val="1"/>
      <w:numFmt w:val="lowerRoman"/>
      <w:lvlText w:val="%3."/>
      <w:lvlJc w:val="right"/>
      <w:pPr>
        <w:ind w:left="2451" w:hanging="180"/>
      </w:pPr>
    </w:lvl>
    <w:lvl w:ilvl="3" w:tplc="B71653EE">
      <w:start w:val="1"/>
      <w:numFmt w:val="decimal"/>
      <w:lvlText w:val="%4."/>
      <w:lvlJc w:val="left"/>
      <w:pPr>
        <w:ind w:left="3171" w:hanging="360"/>
      </w:pPr>
    </w:lvl>
    <w:lvl w:ilvl="4" w:tplc="31BA1A66">
      <w:start w:val="1"/>
      <w:numFmt w:val="lowerLetter"/>
      <w:lvlText w:val="%5."/>
      <w:lvlJc w:val="left"/>
      <w:pPr>
        <w:ind w:left="3891" w:hanging="360"/>
      </w:pPr>
    </w:lvl>
    <w:lvl w:ilvl="5" w:tplc="07361952">
      <w:start w:val="1"/>
      <w:numFmt w:val="lowerRoman"/>
      <w:lvlText w:val="%6."/>
      <w:lvlJc w:val="right"/>
      <w:pPr>
        <w:ind w:left="4611" w:hanging="180"/>
      </w:pPr>
    </w:lvl>
    <w:lvl w:ilvl="6" w:tplc="BF106AFE">
      <w:start w:val="1"/>
      <w:numFmt w:val="decimal"/>
      <w:lvlText w:val="%7."/>
      <w:lvlJc w:val="left"/>
      <w:pPr>
        <w:ind w:left="5331" w:hanging="360"/>
      </w:pPr>
    </w:lvl>
    <w:lvl w:ilvl="7" w:tplc="0C2E96E6">
      <w:start w:val="1"/>
      <w:numFmt w:val="lowerLetter"/>
      <w:lvlText w:val="%8."/>
      <w:lvlJc w:val="left"/>
      <w:pPr>
        <w:ind w:left="6051" w:hanging="360"/>
      </w:pPr>
    </w:lvl>
    <w:lvl w:ilvl="8" w:tplc="936C21F0">
      <w:start w:val="1"/>
      <w:numFmt w:val="lowerRoman"/>
      <w:lvlText w:val="%9."/>
      <w:lvlJc w:val="right"/>
      <w:pPr>
        <w:ind w:left="6771" w:hanging="180"/>
      </w:pPr>
    </w:lvl>
  </w:abstractNum>
  <w:abstractNum w:abstractNumId="3" w15:restartNumberingAfterBreak="0">
    <w:nsid w:val="7872744C"/>
    <w:multiLevelType w:val="hybridMultilevel"/>
    <w:tmpl w:val="6BCE5054"/>
    <w:lvl w:ilvl="0" w:tplc="60F04A48">
      <w:start w:val="1"/>
      <w:numFmt w:val="decimal"/>
      <w:lvlText w:val="%1."/>
      <w:lvlJc w:val="left"/>
      <w:pPr>
        <w:ind w:left="1080" w:hanging="720"/>
      </w:pPr>
      <w:rPr>
        <w:rFonts w:ascii="David" w:hAnsi="David" w:cs="David" w:hint="default"/>
        <w:b w:val="0"/>
        <w:bCs w:val="0"/>
      </w:rPr>
    </w:lvl>
    <w:lvl w:ilvl="1" w:tplc="428079A2">
      <w:start w:val="1"/>
      <w:numFmt w:val="lowerLetter"/>
      <w:lvlText w:val="%2."/>
      <w:lvlJc w:val="left"/>
      <w:pPr>
        <w:ind w:left="1440" w:hanging="360"/>
      </w:pPr>
    </w:lvl>
    <w:lvl w:ilvl="2" w:tplc="B2A843DE">
      <w:start w:val="1"/>
      <w:numFmt w:val="lowerRoman"/>
      <w:lvlText w:val="%3."/>
      <w:lvlJc w:val="right"/>
      <w:pPr>
        <w:ind w:left="2160" w:hanging="180"/>
      </w:pPr>
    </w:lvl>
    <w:lvl w:ilvl="3" w:tplc="1026C254">
      <w:start w:val="1"/>
      <w:numFmt w:val="decimal"/>
      <w:lvlText w:val="%4."/>
      <w:lvlJc w:val="left"/>
      <w:pPr>
        <w:ind w:left="2880" w:hanging="360"/>
      </w:pPr>
    </w:lvl>
    <w:lvl w:ilvl="4" w:tplc="CB3C4B42">
      <w:start w:val="1"/>
      <w:numFmt w:val="lowerLetter"/>
      <w:lvlText w:val="%5."/>
      <w:lvlJc w:val="left"/>
      <w:pPr>
        <w:ind w:left="3600" w:hanging="360"/>
      </w:pPr>
    </w:lvl>
    <w:lvl w:ilvl="5" w:tplc="7DE058FC">
      <w:start w:val="1"/>
      <w:numFmt w:val="lowerRoman"/>
      <w:lvlText w:val="%6."/>
      <w:lvlJc w:val="right"/>
      <w:pPr>
        <w:ind w:left="4320" w:hanging="180"/>
      </w:pPr>
    </w:lvl>
    <w:lvl w:ilvl="6" w:tplc="22A45B4C">
      <w:start w:val="1"/>
      <w:numFmt w:val="decimal"/>
      <w:lvlText w:val="%7."/>
      <w:lvlJc w:val="left"/>
      <w:pPr>
        <w:ind w:left="5040" w:hanging="360"/>
      </w:pPr>
    </w:lvl>
    <w:lvl w:ilvl="7" w:tplc="E3C8FFC4">
      <w:start w:val="1"/>
      <w:numFmt w:val="lowerLetter"/>
      <w:lvlText w:val="%8."/>
      <w:lvlJc w:val="left"/>
      <w:pPr>
        <w:ind w:left="5760" w:hanging="360"/>
      </w:pPr>
    </w:lvl>
    <w:lvl w:ilvl="8" w:tplc="9550BA1A">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31D7"/>
    <w:rsid w:val="00005C8B"/>
    <w:rsid w:val="00016C35"/>
    <w:rsid w:val="000564AB"/>
    <w:rsid w:val="000A77BA"/>
    <w:rsid w:val="000D4192"/>
    <w:rsid w:val="001072A9"/>
    <w:rsid w:val="00132017"/>
    <w:rsid w:val="0014234E"/>
    <w:rsid w:val="00177066"/>
    <w:rsid w:val="001C4003"/>
    <w:rsid w:val="001D5045"/>
    <w:rsid w:val="002259C8"/>
    <w:rsid w:val="002906D4"/>
    <w:rsid w:val="00300F1B"/>
    <w:rsid w:val="00345F4B"/>
    <w:rsid w:val="00381D3A"/>
    <w:rsid w:val="003823DA"/>
    <w:rsid w:val="003B059D"/>
    <w:rsid w:val="003C7BF5"/>
    <w:rsid w:val="004135E7"/>
    <w:rsid w:val="00454269"/>
    <w:rsid w:val="0046547C"/>
    <w:rsid w:val="004846A9"/>
    <w:rsid w:val="00494877"/>
    <w:rsid w:val="004D49A3"/>
    <w:rsid w:val="004E6E3C"/>
    <w:rsid w:val="00507541"/>
    <w:rsid w:val="00547DB7"/>
    <w:rsid w:val="005D4BDB"/>
    <w:rsid w:val="00622BAA"/>
    <w:rsid w:val="00625C89"/>
    <w:rsid w:val="00671BD5"/>
    <w:rsid w:val="006805C1"/>
    <w:rsid w:val="006942CA"/>
    <w:rsid w:val="00694556"/>
    <w:rsid w:val="006D06DC"/>
    <w:rsid w:val="006E1A53"/>
    <w:rsid w:val="007056AA"/>
    <w:rsid w:val="00723E25"/>
    <w:rsid w:val="0074401E"/>
    <w:rsid w:val="00756581"/>
    <w:rsid w:val="00791ABF"/>
    <w:rsid w:val="007A24FE"/>
    <w:rsid w:val="007F1048"/>
    <w:rsid w:val="007F39CF"/>
    <w:rsid w:val="00820005"/>
    <w:rsid w:val="00846D27"/>
    <w:rsid w:val="00902F2C"/>
    <w:rsid w:val="00903896"/>
    <w:rsid w:val="009115AF"/>
    <w:rsid w:val="00927813"/>
    <w:rsid w:val="00944D13"/>
    <w:rsid w:val="009E0263"/>
    <w:rsid w:val="009F524D"/>
    <w:rsid w:val="00A25F2F"/>
    <w:rsid w:val="00A43458"/>
    <w:rsid w:val="00A656CA"/>
    <w:rsid w:val="00A90F21"/>
    <w:rsid w:val="00A96200"/>
    <w:rsid w:val="00AF1ED6"/>
    <w:rsid w:val="00AF4D06"/>
    <w:rsid w:val="00B80CBD"/>
    <w:rsid w:val="00B83B6B"/>
    <w:rsid w:val="00B87194"/>
    <w:rsid w:val="00BC3369"/>
    <w:rsid w:val="00BD7A17"/>
    <w:rsid w:val="00BF77EE"/>
    <w:rsid w:val="00C11B61"/>
    <w:rsid w:val="00C123F0"/>
    <w:rsid w:val="00C23EA9"/>
    <w:rsid w:val="00C45626"/>
    <w:rsid w:val="00C90830"/>
    <w:rsid w:val="00D2339A"/>
    <w:rsid w:val="00D53924"/>
    <w:rsid w:val="00D96D8C"/>
    <w:rsid w:val="00DB4144"/>
    <w:rsid w:val="00DC26DA"/>
    <w:rsid w:val="00DF0115"/>
    <w:rsid w:val="00DF33BB"/>
    <w:rsid w:val="00E00B6F"/>
    <w:rsid w:val="00E54642"/>
    <w:rsid w:val="00E70D3A"/>
    <w:rsid w:val="00E97908"/>
    <w:rsid w:val="00EA01DB"/>
    <w:rsid w:val="00EF3ED0"/>
    <w:rsid w:val="00F0351E"/>
    <w:rsid w:val="00F04F3A"/>
    <w:rsid w:val="00FB5B09"/>
    <w:rsid w:val="00FD053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2E56C4-BF79-4D62-BA06-5B83E6B6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3C7BF5"/>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339A"/>
    <w:rPr>
      <w:color w:val="808080"/>
    </w:rPr>
  </w:style>
  <w:style w:type="paragraph" w:styleId="ad">
    <w:name w:val="List Paragraph"/>
    <w:basedOn w:val="a"/>
    <w:uiPriority w:val="34"/>
    <w:qFormat/>
    <w:rsid w:val="00C23EA9"/>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C23EA9"/>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30">
    <w:name w:val="כותרת 3 תו"/>
    <w:basedOn w:val="a0"/>
    <w:link w:val="3"/>
    <w:rsid w:val="003C7BF5"/>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30980">
      <w:bodyDiv w:val="1"/>
      <w:marLeft w:val="0"/>
      <w:marRight w:val="0"/>
      <w:marTop w:val="0"/>
      <w:marBottom w:val="0"/>
      <w:divBdr>
        <w:top w:val="none" w:sz="0" w:space="0" w:color="auto"/>
        <w:left w:val="none" w:sz="0" w:space="0" w:color="auto"/>
        <w:bottom w:val="none" w:sz="0" w:space="0" w:color="auto"/>
        <w:right w:val="none" w:sz="0" w:space="0" w:color="auto"/>
      </w:divBdr>
    </w:div>
    <w:div w:id="3093341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753955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ABB6F9A49A4AA6A8174C7B064678B7"/>
        <w:category>
          <w:name w:val="כללי"/>
          <w:gallery w:val="placeholder"/>
        </w:category>
        <w:types>
          <w:type w:val="bbPlcHdr"/>
        </w:types>
        <w:behaviors>
          <w:behavior w:val="content"/>
        </w:behaviors>
        <w:guid w:val="{301043A3-0B4E-4D4F-8AFD-09A58453FB1E}"/>
      </w:docPartPr>
      <w:docPartBody>
        <w:p w:rsidR="001C7D5C" w:rsidRDefault="0052742C" w:rsidP="0052742C">
          <w:pPr>
            <w:pStyle w:val="49ABB6F9A49A4AA6A8174C7B064678B72"/>
          </w:pPr>
          <w:r>
            <w:rPr>
              <w:rFonts w:ascii="Tahoma" w:hAnsi="Tahoma" w:cs="Tahoma" w:hint="eastAsia"/>
              <w:b/>
              <w:bCs/>
              <w:noProof w:val="0"/>
              <w:sz w:val="20"/>
              <w:szCs w:val="20"/>
              <w:rtl/>
            </w:rPr>
            <w:t>שם</w:t>
          </w:r>
          <w:r>
            <w:rPr>
              <w:rFonts w:ascii="Tahoma" w:hAnsi="Tahoma" w:cs="Tahoma"/>
              <w:b/>
              <w:bCs/>
              <w:noProof w:val="0"/>
              <w:sz w:val="20"/>
              <w:szCs w:val="20"/>
              <w:rtl/>
            </w:rPr>
            <w:t xml:space="preserve"> תיק ללא שמות חסויים</w:t>
          </w:r>
        </w:p>
      </w:docPartBody>
    </w:docPart>
    <w:docPart>
      <w:docPartPr>
        <w:name w:val="AFA81338C2B94DEC885F8C1999FB9762"/>
        <w:category>
          <w:name w:val="כללי"/>
          <w:gallery w:val="placeholder"/>
        </w:category>
        <w:types>
          <w:type w:val="bbPlcHdr"/>
        </w:types>
        <w:behaviors>
          <w:behavior w:val="content"/>
        </w:behaviors>
        <w:guid w:val="{B9C400D4-532F-4A67-BE24-220026ADC559}"/>
      </w:docPartPr>
      <w:docPartBody>
        <w:p w:rsidR="001C7D5C" w:rsidRDefault="0052742C" w:rsidP="0052742C">
          <w:pPr>
            <w:pStyle w:val="AFA81338C2B94DEC885F8C1999FB97622"/>
          </w:pPr>
          <w:r>
            <w:rPr>
              <w:b/>
              <w:bCs/>
              <w:noProof w:val="0"/>
              <w:sz w:val="26"/>
              <w:szCs w:val="26"/>
              <w:rtl/>
            </w:rPr>
            <w:t>שם צד א' ללא שם של חסוי</w:t>
          </w:r>
        </w:p>
      </w:docPartBody>
    </w:docPart>
    <w:docPart>
      <w:docPartPr>
        <w:name w:val="C32110277BD84FF9BDCB09EB24BCE8EC"/>
        <w:category>
          <w:name w:val="כללי"/>
          <w:gallery w:val="placeholder"/>
        </w:category>
        <w:types>
          <w:type w:val="bbPlcHdr"/>
        </w:types>
        <w:behaviors>
          <w:behavior w:val="content"/>
        </w:behaviors>
        <w:guid w:val="{20342B6E-1C24-436E-B2FC-95517E0AE611}"/>
      </w:docPartPr>
      <w:docPartBody>
        <w:p w:rsidR="001C7D5C" w:rsidRDefault="0052742C" w:rsidP="0052742C">
          <w:pPr>
            <w:pStyle w:val="C32110277BD84FF9BDCB09EB24BCE8EC2"/>
          </w:pPr>
          <w:r w:rsidRPr="00A25F2F">
            <w:rPr>
              <w:rFonts w:ascii="Arial" w:hAnsi="Arial" w:hint="eastAsia"/>
              <w:b/>
              <w:bCs/>
              <w:noProof w:val="0"/>
              <w:sz w:val="26"/>
              <w:szCs w:val="26"/>
              <w:rtl/>
            </w:rPr>
            <w:t>שם</w:t>
          </w:r>
          <w:r w:rsidRPr="00A25F2F">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C1"/>
    <w:rsid w:val="00024CC1"/>
    <w:rsid w:val="001C7D5C"/>
    <w:rsid w:val="00445AB7"/>
    <w:rsid w:val="0052742C"/>
    <w:rsid w:val="00F12BD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4CC1"/>
    <w:rPr>
      <w:color w:val="808080"/>
    </w:rPr>
  </w:style>
  <w:style w:type="paragraph" w:customStyle="1" w:styleId="6C007684C9EB4C3FAF07FCCF436026CF">
    <w:name w:val="6C007684C9EB4C3FAF07FCCF436026CF"/>
    <w:rsid w:val="00024CC1"/>
    <w:pPr>
      <w:bidi/>
      <w:spacing w:after="0" w:line="240" w:lineRule="auto"/>
    </w:pPr>
    <w:rPr>
      <w:rFonts w:ascii="Times New Roman" w:eastAsia="Times New Roman" w:hAnsi="Times New Roman" w:cs="David"/>
      <w:noProof/>
      <w:sz w:val="24"/>
      <w:szCs w:val="24"/>
    </w:rPr>
  </w:style>
  <w:style w:type="paragraph" w:customStyle="1" w:styleId="AFA81338C2B94DEC885F8C1999FB9762">
    <w:name w:val="AFA81338C2B94DEC885F8C1999FB9762"/>
    <w:rsid w:val="00024CC1"/>
    <w:pPr>
      <w:bidi/>
      <w:spacing w:after="0" w:line="240" w:lineRule="auto"/>
    </w:pPr>
    <w:rPr>
      <w:rFonts w:ascii="Times New Roman" w:eastAsia="Times New Roman" w:hAnsi="Times New Roman" w:cs="David"/>
      <w:noProof/>
      <w:sz w:val="24"/>
      <w:szCs w:val="24"/>
    </w:rPr>
  </w:style>
  <w:style w:type="paragraph" w:customStyle="1" w:styleId="C32110277BD84FF9BDCB09EB24BCE8EC">
    <w:name w:val="C32110277BD84FF9BDCB09EB24BCE8EC"/>
    <w:rsid w:val="00024CC1"/>
    <w:pPr>
      <w:bidi/>
      <w:spacing w:after="0" w:line="240" w:lineRule="auto"/>
    </w:pPr>
    <w:rPr>
      <w:rFonts w:ascii="Times New Roman" w:eastAsia="Times New Roman" w:hAnsi="Times New Roman" w:cs="David"/>
      <w:noProof/>
      <w:sz w:val="24"/>
      <w:szCs w:val="24"/>
    </w:rPr>
  </w:style>
  <w:style w:type="paragraph" w:customStyle="1" w:styleId="49ABB6F9A49A4AA6A8174C7B064678B7">
    <w:name w:val="49ABB6F9A49A4AA6A8174C7B064678B7"/>
    <w:rsid w:val="00024CC1"/>
    <w:pPr>
      <w:bidi/>
      <w:spacing w:after="0" w:line="240" w:lineRule="auto"/>
    </w:pPr>
    <w:rPr>
      <w:rFonts w:ascii="Times New Roman" w:eastAsia="Times New Roman" w:hAnsi="Times New Roman" w:cs="David"/>
      <w:noProof/>
      <w:sz w:val="24"/>
      <w:szCs w:val="24"/>
    </w:rPr>
  </w:style>
  <w:style w:type="paragraph" w:customStyle="1" w:styleId="6C007684C9EB4C3FAF07FCCF436026CF1">
    <w:name w:val="6C007684C9EB4C3FAF07FCCF436026CF1"/>
    <w:rsid w:val="00445AB7"/>
    <w:pPr>
      <w:bidi/>
      <w:spacing w:after="0" w:line="240" w:lineRule="auto"/>
    </w:pPr>
    <w:rPr>
      <w:rFonts w:ascii="Times New Roman" w:eastAsia="Times New Roman" w:hAnsi="Times New Roman" w:cs="David"/>
      <w:noProof/>
      <w:sz w:val="24"/>
      <w:szCs w:val="24"/>
    </w:rPr>
  </w:style>
  <w:style w:type="paragraph" w:customStyle="1" w:styleId="AFA81338C2B94DEC885F8C1999FB97621">
    <w:name w:val="AFA81338C2B94DEC885F8C1999FB97621"/>
    <w:rsid w:val="00445AB7"/>
    <w:pPr>
      <w:bidi/>
      <w:spacing w:after="0" w:line="240" w:lineRule="auto"/>
    </w:pPr>
    <w:rPr>
      <w:rFonts w:ascii="Times New Roman" w:eastAsia="Times New Roman" w:hAnsi="Times New Roman" w:cs="David"/>
      <w:noProof/>
      <w:sz w:val="24"/>
      <w:szCs w:val="24"/>
    </w:rPr>
  </w:style>
  <w:style w:type="paragraph" w:customStyle="1" w:styleId="C32110277BD84FF9BDCB09EB24BCE8EC1">
    <w:name w:val="C32110277BD84FF9BDCB09EB24BCE8EC1"/>
    <w:rsid w:val="00445AB7"/>
    <w:pPr>
      <w:bidi/>
      <w:spacing w:after="0" w:line="240" w:lineRule="auto"/>
    </w:pPr>
    <w:rPr>
      <w:rFonts w:ascii="Times New Roman" w:eastAsia="Times New Roman" w:hAnsi="Times New Roman" w:cs="David"/>
      <w:noProof/>
      <w:sz w:val="24"/>
      <w:szCs w:val="24"/>
    </w:rPr>
  </w:style>
  <w:style w:type="paragraph" w:customStyle="1" w:styleId="49ABB6F9A49A4AA6A8174C7B064678B71">
    <w:name w:val="49ABB6F9A49A4AA6A8174C7B064678B71"/>
    <w:rsid w:val="00445AB7"/>
    <w:pPr>
      <w:bidi/>
      <w:spacing w:after="0" w:line="240" w:lineRule="auto"/>
    </w:pPr>
    <w:rPr>
      <w:rFonts w:ascii="Times New Roman" w:eastAsia="Times New Roman" w:hAnsi="Times New Roman" w:cs="David"/>
      <w:noProof/>
      <w:sz w:val="24"/>
      <w:szCs w:val="24"/>
    </w:rPr>
  </w:style>
  <w:style w:type="paragraph" w:customStyle="1" w:styleId="6C007684C9EB4C3FAF07FCCF436026CF2">
    <w:name w:val="6C007684C9EB4C3FAF07FCCF436026CF2"/>
    <w:rsid w:val="0052742C"/>
    <w:pPr>
      <w:bidi/>
      <w:spacing w:after="0" w:line="240" w:lineRule="auto"/>
    </w:pPr>
    <w:rPr>
      <w:rFonts w:ascii="Times New Roman" w:eastAsia="Times New Roman" w:hAnsi="Times New Roman" w:cs="David"/>
      <w:noProof/>
      <w:sz w:val="24"/>
      <w:szCs w:val="24"/>
    </w:rPr>
  </w:style>
  <w:style w:type="paragraph" w:customStyle="1" w:styleId="AFA81338C2B94DEC885F8C1999FB97622">
    <w:name w:val="AFA81338C2B94DEC885F8C1999FB97622"/>
    <w:rsid w:val="0052742C"/>
    <w:pPr>
      <w:bidi/>
      <w:spacing w:after="0" w:line="240" w:lineRule="auto"/>
    </w:pPr>
    <w:rPr>
      <w:rFonts w:ascii="Times New Roman" w:eastAsia="Times New Roman" w:hAnsi="Times New Roman" w:cs="David"/>
      <w:noProof/>
      <w:sz w:val="24"/>
      <w:szCs w:val="24"/>
    </w:rPr>
  </w:style>
  <w:style w:type="paragraph" w:customStyle="1" w:styleId="C32110277BD84FF9BDCB09EB24BCE8EC2">
    <w:name w:val="C32110277BD84FF9BDCB09EB24BCE8EC2"/>
    <w:rsid w:val="0052742C"/>
    <w:pPr>
      <w:bidi/>
      <w:spacing w:after="0" w:line="240" w:lineRule="auto"/>
    </w:pPr>
    <w:rPr>
      <w:rFonts w:ascii="Times New Roman" w:eastAsia="Times New Roman" w:hAnsi="Times New Roman" w:cs="David"/>
      <w:noProof/>
      <w:sz w:val="24"/>
      <w:szCs w:val="24"/>
    </w:rPr>
  </w:style>
  <w:style w:type="paragraph" w:customStyle="1" w:styleId="49ABB6F9A49A4AA6A8174C7B064678B72">
    <w:name w:val="49ABB6F9A49A4AA6A8174C7B064678B72"/>
    <w:rsid w:val="0052742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3718</Words>
  <Characters>18592</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2025-02-02T10:49:00Z</cp:lastPrinted>
  <dcterms:created xsi:type="dcterms:W3CDTF">2025-02-03T10:46:00Z</dcterms:created>
  <dcterms:modified xsi:type="dcterms:W3CDTF">2025-02-03T10:46:00Z</dcterms:modified>
</cp:coreProperties>
</file>